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附件1</w:t>
      </w:r>
    </w:p>
    <w:p>
      <w:pPr>
        <w:jc w:val="center"/>
        <w:rPr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ind w:right="480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color w:val="000000"/>
          <w:sz w:val="36"/>
          <w:szCs w:val="36"/>
        </w:rPr>
        <w:t>参会名额分配表</w:t>
      </w:r>
    </w:p>
    <w:p>
      <w:pPr>
        <w:jc w:val="center"/>
        <w:rPr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分配人数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省属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外经企业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杭州市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宁波市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温州市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湖州市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嘉兴市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绍兴市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金华市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其中：义乌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衢州市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舟山市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台州市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丽水市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浙江省对外承包工程企业会员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共计</w:t>
            </w:r>
          </w:p>
        </w:tc>
        <w:tc>
          <w:tcPr>
            <w:tcW w:w="345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130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E0603"/>
    <w:rsid w:val="513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2021-11-05T06:00:00Z</dcterms:created>
  <dc:creator>无与流年的浮世清欢</dc:creator>
  <cp:lastModifiedBy>无与流年的浮世清欢</cp:lastModifiedBy>
  <dcterms:modified xsi:type="dcterms:W3CDTF">2021-11-05T06:31:22Z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