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浙江家政行业“三强”首批培育企业名单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杭州市（9家）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三替集团有限公司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杭州华红家政服务有限公司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杭州巾帼西丽生活服务科技集团有限公司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杭州大本营家政服务有限公司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浙江爱加康健康管理有限公司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杭州依乐享养老服务有限公司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杭州天使家政服务有限公司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浙江好阿姨家政有限公司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杭州创乔信息技术有限公司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宁波市（9家）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宁波江东贝嘉宝家政服务有限公司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浙江宸若物业服务有限公司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慈溪给力家政服务有限公司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宁波市安健家政服务有限公司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宁波海曙蓝孚家政服务有限公司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宁波市海曙大众社区服务有限公司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宁波市乐乐园家政服务有限公司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宁波市润家家政服务有限公司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宁波美乐门家庭服务有限公司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温州市（3家）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温州贵宝贝母婴护理服务有限公司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温州市蓓蕾家政服务有限公司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扫眉才子科技温州有限公司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嘉兴市（3家）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嘉兴市管佳劳务服务有限公司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浙江安华保洁服务有限公司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嘉兴喜悦嫂母婴服务有限公司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湖州市（1家）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长兴茶乡嫂家政服务有限公司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绍兴市（7家）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嵊州市邻舍家家政服务有限公司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诸暨市暨阳物业保洁服务有限公司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嵊州市小麦家政服务有限公司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绍兴舒美家政服务有限公司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绍兴爱丽婴家政服务有限公司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绍兴市仁本居家服务有限公司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越城区金钻家政服务有限公司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金华市（8家）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金华市晓凤家政有限公司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金华市田野风家政服务有限公司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金华市徐美飞家政服务有限公司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浙江省浦江县如愿家政服务部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金华大堰河母婴服务有限公司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永康市佰帮家政服务有限公司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金华市艾兰洁家政服务有限公司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金华市婺城区金发佳苑巧云家政服务部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衢州市（3家）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衢州市半边天家政服务有限公司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衢州市新天天家政服务有限公司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衢州市硕丰家政服务有限公司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舟山市（2家）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浙江全洁物业管理有限公司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浙江万帮家政股份有限公司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台州市（2家）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浙江绿意物业管理服务有限公司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台州经济开发区阳光物业管理有限公司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丽水市（3家）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丽水市巧手家庭服务有限公司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浙江爱久久家政服务有限公司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 xml:space="preserve">庆元巧手家政服务有限公司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4E3C"/>
    <w:rsid w:val="381E7DCD"/>
    <w:rsid w:val="40E3417C"/>
    <w:rsid w:val="44A14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2020-11-20T07:57:00Z</dcterms:created>
  <dc:creator>应子（Léna）</dc:creator>
  <cp:lastModifiedBy>应子（Léna）</cp:lastModifiedBy>
  <dcterms:modified xsi:type="dcterms:W3CDTF">2020-11-20T08:46:46Z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