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90" w:lineRule="atLeast"/>
        <w:jc w:val="center"/>
        <w:rPr>
          <w:rFonts w:ascii="宋体" w:hAnsi="宋体" w:cs="宋体"/>
          <w:b/>
          <w:bCs/>
          <w:kern w:val="0"/>
          <w:sz w:val="44"/>
          <w:szCs w:val="44"/>
        </w:rPr>
      </w:pPr>
    </w:p>
    <w:p>
      <w:pPr>
        <w:widowControl/>
        <w:shd w:val="clear" w:color="auto" w:fill="FFFFFF"/>
        <w:spacing w:line="390" w:lineRule="atLeast"/>
        <w:jc w:val="center"/>
        <w:rPr>
          <w:rFonts w:ascii="宋体" w:hAnsi="宋体" w:cs="宋体"/>
          <w:b/>
          <w:bCs/>
          <w:kern w:val="0"/>
          <w:sz w:val="44"/>
          <w:szCs w:val="44"/>
        </w:rPr>
      </w:pPr>
    </w:p>
    <w:p>
      <w:pPr>
        <w:widowControl/>
        <w:shd w:val="clear" w:color="auto" w:fill="FFFFFF"/>
        <w:spacing w:line="390" w:lineRule="atLeast"/>
        <w:jc w:val="center"/>
        <w:rPr>
          <w:rFonts w:ascii="宋体" w:hAnsi="宋体" w:cs="宋体"/>
          <w:b/>
          <w:bCs/>
          <w:kern w:val="0"/>
          <w:sz w:val="44"/>
          <w:szCs w:val="44"/>
        </w:rPr>
      </w:pPr>
    </w:p>
    <w:p>
      <w:pPr>
        <w:autoSpaceDE w:val="0"/>
        <w:autoSpaceDN w:val="0"/>
        <w:adjustRightInd w:val="0"/>
        <w:snapToGrid w:val="0"/>
        <w:spacing w:line="560" w:lineRule="exact"/>
        <w:jc w:val="center"/>
        <w:rPr>
          <w:rFonts w:hint="eastAsia" w:ascii="宋体" w:hAnsi="宋体"/>
          <w:b/>
          <w:sz w:val="36"/>
          <w:szCs w:val="36"/>
        </w:rPr>
      </w:pPr>
      <w:r>
        <w:rPr>
          <w:rFonts w:hint="eastAsia" w:ascii="宋体" w:hAnsi="宋体"/>
          <w:b/>
          <w:sz w:val="36"/>
          <w:szCs w:val="36"/>
        </w:rPr>
        <w:t>浙江省商务厅</w:t>
      </w:r>
      <w:r>
        <w:rPr>
          <w:rFonts w:ascii="宋体" w:hAnsi="宋体"/>
          <w:b/>
          <w:sz w:val="36"/>
          <w:szCs w:val="36"/>
        </w:rPr>
        <w:t>关于</w:t>
      </w:r>
      <w:r>
        <w:rPr>
          <w:rFonts w:hint="eastAsia" w:ascii="宋体" w:hAnsi="宋体"/>
          <w:b/>
          <w:sz w:val="36"/>
          <w:szCs w:val="36"/>
        </w:rPr>
        <w:t>在全省范围内推广实施家政从业人员“居家上门服务证”（“安心码”）的通知</w:t>
      </w:r>
    </w:p>
    <w:p>
      <w:pPr>
        <w:autoSpaceDE w:val="0"/>
        <w:autoSpaceDN w:val="0"/>
        <w:adjustRightInd w:val="0"/>
        <w:snapToGrid w:val="0"/>
        <w:spacing w:line="560" w:lineRule="exact"/>
        <w:jc w:val="center"/>
        <w:rPr>
          <w:rFonts w:ascii="宋体" w:hAnsi="宋体"/>
          <w:b/>
          <w:sz w:val="36"/>
          <w:szCs w:val="36"/>
        </w:rPr>
      </w:pPr>
      <w:r>
        <w:rPr>
          <w:rFonts w:hint="eastAsia" w:ascii="宋体" w:hAnsi="宋体"/>
          <w:b/>
          <w:sz w:val="36"/>
          <w:szCs w:val="36"/>
        </w:rPr>
        <w:t>（征求意见稿）</w:t>
      </w:r>
    </w:p>
    <w:p>
      <w:pPr>
        <w:spacing w:line="560" w:lineRule="exact"/>
        <w:jc w:val="left"/>
        <w:rPr>
          <w:rFonts w:eastAsia="仿宋_GB2312"/>
          <w:sz w:val="32"/>
          <w:szCs w:val="32"/>
        </w:rPr>
      </w:pPr>
    </w:p>
    <w:p>
      <w:pPr>
        <w:tabs>
          <w:tab w:val="left" w:pos="7449"/>
        </w:tabs>
        <w:adjustRightInd w:val="0"/>
        <w:snapToGrid w:val="0"/>
        <w:spacing w:line="560" w:lineRule="exact"/>
        <w:rPr>
          <w:rFonts w:eastAsia="仿宋_GB2312"/>
          <w:sz w:val="32"/>
          <w:szCs w:val="32"/>
        </w:rPr>
      </w:pPr>
      <w:r>
        <w:rPr>
          <w:rFonts w:hint="eastAsia" w:eastAsia="仿宋_GB2312"/>
          <w:sz w:val="32"/>
          <w:szCs w:val="32"/>
        </w:rPr>
        <w:t>各市商务局，省家政行业协会、各市家政行业协会</w:t>
      </w:r>
      <w:r>
        <w:rPr>
          <w:rFonts w:eastAsia="仿宋_GB2312"/>
          <w:sz w:val="32"/>
          <w:szCs w:val="32"/>
        </w:rPr>
        <w:t>：</w:t>
      </w:r>
    </w:p>
    <w:p>
      <w:pPr>
        <w:autoSpaceDE w:val="0"/>
        <w:autoSpaceDN w:val="0"/>
        <w:adjustRightInd w:val="0"/>
        <w:snapToGrid w:val="0"/>
        <w:spacing w:line="560" w:lineRule="exact"/>
        <w:ind w:firstLine="640" w:firstLineChars="200"/>
        <w:rPr>
          <w:rFonts w:eastAsia="仿宋_GB2312"/>
          <w:sz w:val="32"/>
          <w:szCs w:val="32"/>
        </w:rPr>
      </w:pPr>
      <w:r>
        <w:rPr>
          <w:rFonts w:hint="eastAsia" w:eastAsia="仿宋_GB2312"/>
          <w:sz w:val="32"/>
          <w:szCs w:val="32"/>
        </w:rPr>
        <w:t>去年以来，全省各级商务部门和家政行业协会认真贯彻落实党中央国务院和省委省政府有关家政服务业提质扩容一系列部署要求，以家政从业人员信息归集、家政信用平台建设、家政行业标准研究制定、“居家上门服务证”试行等为重点的各项工作扎实推进，特别是金华市商务局和市家政行业协会，在家政从业人员“居家上门服务证”探索实践上趟出了路子，走在了全省前列（相关做法详见附件3）。根据《浙江省人民政府办公厅关于促进家政服务业提质扩容的实施意见》（浙政办发</w:t>
      </w:r>
      <w:r>
        <w:rPr>
          <w:rFonts w:hint="eastAsia" w:ascii="仿宋" w:hAnsi="仿宋" w:eastAsia="仿宋"/>
          <w:sz w:val="32"/>
          <w:szCs w:val="32"/>
        </w:rPr>
        <w:t>〔</w:t>
      </w:r>
      <w:r>
        <w:rPr>
          <w:rFonts w:hint="eastAsia" w:eastAsia="仿宋_GB2312"/>
          <w:sz w:val="32"/>
          <w:szCs w:val="32"/>
        </w:rPr>
        <w:t>2019 〕70号）和《浙江省发展改革委浙江省商务厅关于促进家政服务业提质扩容2020年工作要点》相关精神，着眼我省家政服务业健康有序规范发展需要，决定在全省范围内加快推广实施家政从业人员“居家上门服务证”。现就有关事项明确如下：</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一、证件形式。</w:t>
      </w:r>
      <w:r>
        <w:rPr>
          <w:rFonts w:hint="eastAsia" w:eastAsia="仿宋_GB2312"/>
          <w:sz w:val="32"/>
          <w:szCs w:val="32"/>
        </w:rPr>
        <w:t>浙江省家政从业人员“居家上门服务证”采取全省统一格式、各市分别制作、授权省市家政行业协会发放的形式推广实施。实体证件样式详见附件1。为充分体现我省数字大省、移动之省的优势，进一步满足人民群众个性化、便利化需求，适当降低运作成本，采取线下证件和线上证件相结合的方式，鼓励有条件的地区和家政从业人员使用电子证件。电子“居家上门服务证”（简称“安心码”）与实体证件具有同等效力。相关机构在办理“居家上门服务证”时，即同步生成“安心码”，由家政从业人员自行决定选用何种证件方式。</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二、证件使用时机。</w:t>
      </w:r>
      <w:r>
        <w:rPr>
          <w:rFonts w:hint="eastAsia" w:eastAsia="仿宋_GB2312"/>
          <w:sz w:val="32"/>
          <w:szCs w:val="32"/>
        </w:rPr>
        <w:t>家政从业人员进行上门服务时，应主动出示“居家上门服务证”或“安心码”，雇主扫码认可后，可点击确认入户，形成闭环。其中“安心码”显示绿色，即为合格家政从业人员，表明“居家上门服务证”处于已发证状态，体检、保险当天都在有效期内；显示黄色，表明家政从业人员体检或保险其中一项已到期，由雇主自行决定是否继续聘用；显示红色，表明“居家上门服务证”处于失效状态或体检、保险均已到期或治安核查未通过，不推荐雇主聘用该从业人员。</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三、证件效力。</w:t>
      </w:r>
      <w:r>
        <w:rPr>
          <w:rFonts w:hint="eastAsia" w:eastAsia="仿宋_GB2312"/>
          <w:sz w:val="32"/>
          <w:szCs w:val="32"/>
        </w:rPr>
        <w:t>“居家上门服务证”（或“安心码”）是浙江省家政从业人员从事家政服务工作的唯一有效证件，包含家政从业人员所属企业相关信息、个人基本信息、体检合格信息、从业责任保险信息、公安部门违法犯罪背景核查信息等多项从业安全信息数据，凡持有该证的家政从业人员，享受个人信息保密、优先推荐择业、免费提供信用查询和担保维权等权利；凡聘用持证家政从业人员进行家政服务的消费者，享受查验家政从业人员基本信息、违法犯罪背景信息和其他信用信息，以及依托政府、家政行业协会等机构咨询、维权等权利；凡无“居家上门服务证”的家政从业人员或聘用无“居家上门服务证”家政从业人员进行家政服务的消费者，不享受上述权利，政府和行业协会不提供相关服务和保障。</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四、证件申领条件。</w:t>
      </w:r>
      <w:r>
        <w:rPr>
          <w:rFonts w:hint="eastAsia" w:eastAsia="仿宋_GB2312"/>
          <w:sz w:val="32"/>
          <w:szCs w:val="32"/>
        </w:rPr>
        <w:t>暂时仅支持家政企业为所属家政从业人员申领证件，不支持个人名义申领。家政从业人员需在商务部家政服务信用平台上传真实、合规、完整的个人数据，并经人脸识别等相关机制审核通过，并全套提供本人家政专业技能培训证书、《家政服务员信用信息授权书》（由家政从业人员与所在企业签订）、体检合格证明、从业责任保险（必须内含第三方责任险）、公安部门犯罪背景核查证明，方能申请办理此证。</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五、证件办理流程。</w:t>
      </w:r>
      <w:r>
        <w:rPr>
          <w:rFonts w:hint="eastAsia" w:eastAsia="仿宋_GB2312"/>
          <w:sz w:val="32"/>
          <w:szCs w:val="32"/>
        </w:rPr>
        <w:t>通常流程为：个人填写申请表格、提供完整的办证资料—所在家政企业初审通过，向本市家政行业协会提出申请—本市商务局会公安局或授权本市家政行业协会核验个人信用信息—本市商务局授权本市家政行业协会（或委托第三方信用机构）制作证件—本市家政行业协会通过家政企业向家政从业人员逐级发放证件。办证全流程一般不超过7个工作日，因特殊情况需要延长，由本市家政行业协会及时通过所属企业向从业人员本人说明。办证基本流程详见附件2。</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六、制证费用。</w:t>
      </w:r>
      <w:r>
        <w:rPr>
          <w:rFonts w:hint="eastAsia" w:eastAsia="仿宋_GB2312"/>
          <w:sz w:val="32"/>
          <w:szCs w:val="32"/>
        </w:rPr>
        <w:t>“居家上门服务证”是强化家政从业人员信用信息监管和发挥信用信息服务功能的重要手段和途径，家政从业人员个人无需支付“居家上门服务证”办证费用（体检、保险等费用是否由从业人员个人支出由各地根据实际情况确定），办证产生的工本、工时等费用可从2019年下达各市的中央服务业专项资金或本级商务促进专项资金中列支，一般每本证件综合成本不超过10元。鼓励各市将“居家上门服务证”推广实施与家政企业、家政从业人员在商务部业务平台建立信用档案的补贴发放挂钩。</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七、业务培训。</w:t>
      </w:r>
      <w:r>
        <w:rPr>
          <w:rFonts w:hint="eastAsia" w:eastAsia="仿宋_GB2312"/>
          <w:sz w:val="32"/>
          <w:szCs w:val="32"/>
        </w:rPr>
        <w:t>疫情结束后，省商务厅将尽快在金华市组织一期“居家上门服务证”推广实施工作会议暨业务培训，请各市商务局提前筹划本市“居家上门服务证”推广实施工作，主要是制证发证服务外包单位的选定。届时各市商务局业务主管部门及制证发证服务外包单位相关人员一并参加会议及培训。会议具体安排另行通知。</w:t>
      </w:r>
    </w:p>
    <w:p>
      <w:pPr>
        <w:autoSpaceDE w:val="0"/>
        <w:autoSpaceDN w:val="0"/>
        <w:adjustRightInd w:val="0"/>
        <w:snapToGrid w:val="0"/>
        <w:spacing w:line="560" w:lineRule="exact"/>
        <w:ind w:firstLine="640" w:firstLineChars="200"/>
        <w:rPr>
          <w:rFonts w:eastAsia="仿宋_GB2312"/>
          <w:sz w:val="32"/>
          <w:szCs w:val="32"/>
        </w:rPr>
      </w:pPr>
      <w:r>
        <w:rPr>
          <w:rFonts w:hint="eastAsia" w:ascii="黑体" w:hAnsi="黑体" w:eastAsia="黑体"/>
          <w:sz w:val="32"/>
          <w:szCs w:val="32"/>
        </w:rPr>
        <w:t>八、推广实施要求。</w:t>
      </w:r>
      <w:r>
        <w:rPr>
          <w:rFonts w:hint="eastAsia" w:eastAsia="仿宋_GB2312"/>
          <w:sz w:val="32"/>
          <w:szCs w:val="32"/>
        </w:rPr>
        <w:t>各市商务主管部门要切实履行行业管理职能，尽快明确本市“居家上门服务证”推广实施办法，特别是制证发证单位及具体操作流程；各市家政行业协会要充分发挥行业牵头和具体工作承办功能，广泛发动不局限于会员单位的全市家政企业和家政从业人员积极参与“居家上门服务证”推广实施工作，并切实保证信息录入、审核及制证发证过程的合规性、公平性；各家政企业和家政从业人员要充分认识到“居家上门服务证”对于行业管理、企业发展和个人从业、消费安全等方面的重要意义，积极踊跃参与证件推广实施工作。省商务厅将把“居家上门服务证”推广实施纳入对各市商务局年度工作考核。</w:t>
      </w:r>
    </w:p>
    <w:p>
      <w:pPr>
        <w:autoSpaceDE w:val="0"/>
        <w:autoSpaceDN w:val="0"/>
        <w:adjustRightInd w:val="0"/>
        <w:snapToGrid w:val="0"/>
        <w:spacing w:line="560" w:lineRule="exact"/>
        <w:ind w:firstLine="640" w:firstLineChars="200"/>
        <w:rPr>
          <w:rFonts w:eastAsia="仿宋_GB2312"/>
          <w:sz w:val="32"/>
          <w:szCs w:val="32"/>
        </w:rPr>
      </w:pPr>
    </w:p>
    <w:p>
      <w:pPr>
        <w:autoSpaceDE w:val="0"/>
        <w:autoSpaceDN w:val="0"/>
        <w:adjustRightInd w:val="0"/>
        <w:snapToGrid w:val="0"/>
        <w:spacing w:line="560" w:lineRule="exact"/>
        <w:ind w:firstLine="640" w:firstLineChars="200"/>
        <w:rPr>
          <w:rFonts w:eastAsia="仿宋_GB2312"/>
          <w:color w:val="000000"/>
          <w:sz w:val="32"/>
          <w:szCs w:val="32"/>
        </w:rPr>
      </w:pPr>
      <w:r>
        <w:rPr>
          <w:rFonts w:hint="eastAsia" w:eastAsia="仿宋_GB2312"/>
          <w:color w:val="000000"/>
          <w:sz w:val="32"/>
          <w:szCs w:val="32"/>
        </w:rPr>
        <w:t>附件：1.浙江省家政从业人员“居家上门服务证”样式；</w:t>
      </w:r>
    </w:p>
    <w:p>
      <w:pPr>
        <w:autoSpaceDE w:val="0"/>
        <w:autoSpaceDN w:val="0"/>
        <w:adjustRightInd w:val="0"/>
        <w:snapToGrid w:val="0"/>
        <w:spacing w:line="560" w:lineRule="exact"/>
        <w:ind w:left="2000" w:leftChars="800" w:hanging="320" w:hangingChars="100"/>
        <w:rPr>
          <w:rFonts w:eastAsia="仿宋_GB2312"/>
          <w:color w:val="000000"/>
          <w:sz w:val="32"/>
          <w:szCs w:val="32"/>
        </w:rPr>
      </w:pPr>
      <w:r>
        <w:rPr>
          <w:rFonts w:hint="eastAsia" w:eastAsia="仿宋_GB2312"/>
          <w:color w:val="000000"/>
          <w:sz w:val="32"/>
          <w:szCs w:val="32"/>
        </w:rPr>
        <w:t>2.浙江省家政从业人员“居家上门服务证”办证基本流程；</w:t>
      </w:r>
    </w:p>
    <w:p>
      <w:pPr>
        <w:autoSpaceDE w:val="0"/>
        <w:autoSpaceDN w:val="0"/>
        <w:adjustRightInd w:val="0"/>
        <w:snapToGrid w:val="0"/>
        <w:spacing w:line="560" w:lineRule="exact"/>
        <w:ind w:left="2000" w:leftChars="800" w:hanging="320" w:hangingChars="100"/>
        <w:rPr>
          <w:rFonts w:eastAsia="仿宋_GB2312"/>
          <w:color w:val="000000"/>
          <w:sz w:val="32"/>
          <w:szCs w:val="32"/>
        </w:rPr>
      </w:pPr>
      <w:r>
        <w:rPr>
          <w:rFonts w:hint="eastAsia" w:eastAsia="仿宋_GB2312"/>
          <w:color w:val="000000"/>
          <w:sz w:val="32"/>
          <w:szCs w:val="32"/>
        </w:rPr>
        <w:t>3.金华市商务局关于“双证合一”加快推进家政服务业规范化品质化发展经验做法。</w:t>
      </w:r>
    </w:p>
    <w:p>
      <w:pPr>
        <w:autoSpaceDE w:val="0"/>
        <w:autoSpaceDN w:val="0"/>
        <w:adjustRightInd w:val="0"/>
        <w:snapToGrid w:val="0"/>
        <w:spacing w:line="560" w:lineRule="exact"/>
        <w:ind w:firstLine="640" w:firstLineChars="200"/>
        <w:rPr>
          <w:rFonts w:eastAsia="仿宋_GB2312"/>
          <w:color w:val="000000"/>
          <w:sz w:val="32"/>
          <w:szCs w:val="32"/>
        </w:rPr>
      </w:pPr>
    </w:p>
    <w:p>
      <w:pPr>
        <w:tabs>
          <w:tab w:val="left" w:pos="7449"/>
        </w:tabs>
        <w:adjustRightInd w:val="0"/>
        <w:snapToGrid w:val="0"/>
        <w:spacing w:line="560" w:lineRule="exact"/>
        <w:ind w:firstLine="6240" w:firstLineChars="1950"/>
        <w:rPr>
          <w:rFonts w:eastAsia="仿宋_GB2312"/>
          <w:color w:val="000000"/>
          <w:sz w:val="32"/>
          <w:szCs w:val="32"/>
        </w:rPr>
      </w:pPr>
    </w:p>
    <w:p>
      <w:pPr>
        <w:tabs>
          <w:tab w:val="left" w:pos="7449"/>
        </w:tabs>
        <w:adjustRightInd w:val="0"/>
        <w:snapToGrid w:val="0"/>
        <w:spacing w:line="560" w:lineRule="exact"/>
        <w:ind w:firstLine="6080" w:firstLineChars="1900"/>
        <w:rPr>
          <w:rFonts w:eastAsia="仿宋_GB2312"/>
          <w:color w:val="000000"/>
          <w:sz w:val="32"/>
          <w:szCs w:val="32"/>
        </w:rPr>
      </w:pPr>
      <w:r>
        <w:rPr>
          <w:rFonts w:hint="eastAsia" w:eastAsia="仿宋_GB2312"/>
          <w:color w:val="000000"/>
          <w:sz w:val="32"/>
          <w:szCs w:val="32"/>
        </w:rPr>
        <w:t>浙江省商务厅</w:t>
      </w:r>
    </w:p>
    <w:p>
      <w:pPr>
        <w:tabs>
          <w:tab w:val="left" w:pos="7449"/>
        </w:tabs>
        <w:adjustRightInd w:val="0"/>
        <w:snapToGrid w:val="0"/>
        <w:spacing w:line="560" w:lineRule="exact"/>
        <w:ind w:firstLine="5920" w:firstLineChars="1850"/>
        <w:rPr>
          <w:rFonts w:eastAsia="仿宋_GB2312"/>
          <w:color w:val="000000"/>
          <w:sz w:val="32"/>
          <w:szCs w:val="32"/>
        </w:rPr>
      </w:pPr>
      <w:r>
        <w:rPr>
          <w:rFonts w:hint="eastAsia" w:eastAsia="仿宋_GB2312"/>
          <w:color w:val="000000"/>
          <w:sz w:val="32"/>
          <w:szCs w:val="32"/>
        </w:rPr>
        <w:t>2020年3月25日</w:t>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hint="eastAsia"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附件1-1</w:t>
      </w:r>
    </w:p>
    <w:p>
      <w:pPr>
        <w:jc w:val="cente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t>浙江省家政从业人员“居家上门服务证”</w:t>
      </w:r>
    </w:p>
    <w:p>
      <w:pPr>
        <w:jc w:val="center"/>
        <w:rPr>
          <w:rFonts w:ascii="黑体" w:hAnsi="黑体" w:eastAsia="黑体"/>
          <w:sz w:val="32"/>
          <w:szCs w:val="32"/>
        </w:rPr>
      </w:pPr>
      <w:r>
        <w:rPr>
          <w:rFonts w:hint="eastAsia" w:asciiTheme="majorEastAsia" w:hAnsiTheme="majorEastAsia" w:eastAsiaTheme="majorEastAsia"/>
          <w:b/>
          <w:sz w:val="36"/>
          <w:szCs w:val="36"/>
        </w:rPr>
        <w:t>（实体证）样式</w:t>
      </w:r>
      <w:r>
        <w:drawing>
          <wp:inline distT="0" distB="0" distL="0" distR="0">
            <wp:extent cx="5541645" cy="3676650"/>
            <wp:effectExtent l="0" t="0" r="1905" b="0"/>
            <wp:docPr id="1" name="图片 1" descr="F:\陈应子\陶处\2020年\3.25规范性文件\规范性文件一套\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陈应子\陶处\2020年\3.25规范性文件\规范性文件一套\图片1.png图片1"/>
                    <pic:cNvPicPr>
                      <a:picLocks noChangeAspect="1"/>
                    </pic:cNvPicPr>
                  </pic:nvPicPr>
                  <pic:blipFill>
                    <a:blip r:embed="rId5"/>
                    <a:srcRect t="9927"/>
                    <a:stretch>
                      <a:fillRect/>
                    </a:stretch>
                  </pic:blipFill>
                  <pic:spPr>
                    <a:xfrm>
                      <a:off x="0" y="0"/>
                      <a:ext cx="5541645" cy="3676650"/>
                    </a:xfrm>
                    <a:prstGeom prst="rect">
                      <a:avLst/>
                    </a:prstGeom>
                  </pic:spPr>
                </pic:pic>
              </a:graphicData>
            </a:graphic>
          </wp:inline>
        </w:drawing>
      </w:r>
    </w:p>
    <w:p>
      <w:pPr>
        <w:ind w:firstLine="420" w:firstLineChars="200"/>
        <w:rPr>
          <w:rFonts w:ascii="黑体" w:hAnsi="黑体" w:eastAsia="黑体"/>
          <w:sz w:val="32"/>
          <w:szCs w:val="32"/>
        </w:rPr>
      </w:pPr>
      <w:r>
        <w:drawing>
          <wp:inline distT="0" distB="0" distL="0" distR="0">
            <wp:extent cx="5038725" cy="2990215"/>
            <wp:effectExtent l="0" t="0" r="9525" b="635"/>
            <wp:docPr id="21" name="图片 20" descr="F:\陈应子\陶处\2020年\3.25规范性文件\规范性文件一套\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F:\陈应子\陶处\2020年\3.25规范性文件\规范性文件一套\图片2.png图片2"/>
                    <pic:cNvPicPr>
                      <a:picLocks noChangeAspect="1"/>
                    </pic:cNvPicPr>
                  </pic:nvPicPr>
                  <pic:blipFill>
                    <a:blip r:embed="rId6"/>
                    <a:srcRect/>
                    <a:stretch>
                      <a:fillRect/>
                    </a:stretch>
                  </pic:blipFill>
                  <pic:spPr>
                    <a:xfrm>
                      <a:off x="0" y="0"/>
                      <a:ext cx="5038725" cy="2990215"/>
                    </a:xfrm>
                    <a:prstGeom prst="rect">
                      <a:avLst/>
                    </a:prstGeom>
                  </pic:spPr>
                </pic:pic>
              </a:graphicData>
            </a:graphic>
          </wp:inline>
        </w:drawing>
      </w:r>
    </w:p>
    <w:p>
      <w:pPr>
        <w:rPr>
          <w:rFonts w:ascii="黑体" w:hAnsi="黑体" w:eastAsia="黑体"/>
          <w:sz w:val="32"/>
          <w:szCs w:val="32"/>
        </w:rPr>
      </w:pPr>
      <w:r>
        <w:rPr>
          <w:rFonts w:hint="eastAsia" w:ascii="黑体" w:hAnsi="黑体" w:eastAsia="黑体"/>
          <w:sz w:val="32"/>
          <w:szCs w:val="32"/>
        </w:rPr>
        <w:t>附件1-2</w:t>
      </w:r>
    </w:p>
    <w:p>
      <w:pPr>
        <w:jc w:val="center"/>
        <w:rPr>
          <w:rFonts w:hint="eastAsia" w:ascii="黑体" w:hAnsi="黑体" w:eastAsia="黑体"/>
          <w:sz w:val="32"/>
          <w:szCs w:val="32"/>
        </w:rPr>
      </w:pPr>
      <w:r>
        <w:rPr>
          <w:rFonts w:hint="eastAsia" w:ascii="黑体" w:hAnsi="黑体" w:eastAsia="黑体"/>
          <w:sz w:val="32"/>
          <w:szCs w:val="32"/>
        </w:rPr>
        <w:t>浙江省家政从业人员“居家上门服务证”</w:t>
      </w:r>
    </w:p>
    <w:p>
      <w:pPr>
        <w:jc w:val="center"/>
        <w:rPr>
          <w:rFonts w:ascii="黑体" w:hAnsi="黑体" w:eastAsia="黑体"/>
          <w:sz w:val="32"/>
          <w:szCs w:val="32"/>
        </w:rPr>
      </w:pPr>
      <w:r>
        <w:rPr>
          <w:rFonts w:hint="eastAsia" w:ascii="黑体" w:hAnsi="黑体" w:eastAsia="黑体"/>
          <w:sz w:val="32"/>
          <w:szCs w:val="32"/>
        </w:rPr>
        <w:t>（电子证“安心码”）样式</w:t>
      </w:r>
    </w:p>
    <w:p>
      <w:pPr>
        <w:ind w:firstLine="420" w:firstLineChars="200"/>
      </w:pPr>
      <w:r>
        <w:t xml:space="preserve">  </w:t>
      </w:r>
      <w:r>
        <w:drawing>
          <wp:inline distT="0" distB="0" distL="0" distR="0">
            <wp:extent cx="2110105" cy="3465830"/>
            <wp:effectExtent l="0" t="0" r="4445" b="1270"/>
            <wp:docPr id="7" name="图片 7" descr="F:\陈应子\陶处\2020年\3.25规范性文件\规范性文件一套\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陈应子\陶处\2020年\3.25规范性文件\规范性文件一套\图片3.png图片3"/>
                    <pic:cNvPicPr>
                      <a:picLocks noChangeAspect="1"/>
                    </pic:cNvPicPr>
                  </pic:nvPicPr>
                  <pic:blipFill>
                    <a:blip r:embed="rId7"/>
                    <a:srcRect/>
                    <a:stretch>
                      <a:fillRect/>
                    </a:stretch>
                  </pic:blipFill>
                  <pic:spPr>
                    <a:xfrm>
                      <a:off x="0" y="0"/>
                      <a:ext cx="2110597" cy="3465830"/>
                    </a:xfrm>
                    <a:prstGeom prst="rect">
                      <a:avLst/>
                    </a:prstGeom>
                  </pic:spPr>
                </pic:pic>
              </a:graphicData>
            </a:graphic>
          </wp:inline>
        </w:drawing>
      </w:r>
      <w:r>
        <w:t xml:space="preserve"> </w:t>
      </w:r>
      <w:r>
        <w:drawing>
          <wp:inline distT="0" distB="0" distL="0" distR="0">
            <wp:extent cx="2113915" cy="3473450"/>
            <wp:effectExtent l="0" t="0" r="635" b="12700"/>
            <wp:docPr id="8" name="图片 8" descr="F:\陈应子\陶处\2020年\3.25规范性文件\规范性文件一套\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陈应子\陶处\2020年\3.25规范性文件\规范性文件一套\图片4.png图片4"/>
                    <pic:cNvPicPr>
                      <a:picLocks noChangeAspect="1"/>
                    </pic:cNvPicPr>
                  </pic:nvPicPr>
                  <pic:blipFill>
                    <a:blip r:embed="rId8"/>
                    <a:srcRect/>
                    <a:stretch>
                      <a:fillRect/>
                    </a:stretch>
                  </pic:blipFill>
                  <pic:spPr>
                    <a:xfrm>
                      <a:off x="0" y="0"/>
                      <a:ext cx="2113915" cy="3489592"/>
                    </a:xfrm>
                    <a:prstGeom prst="rect">
                      <a:avLst/>
                    </a:prstGeom>
                  </pic:spPr>
                </pic:pic>
              </a:graphicData>
            </a:graphic>
          </wp:inline>
        </w:drawing>
      </w:r>
    </w:p>
    <w:p>
      <w:pPr>
        <w:ind w:firstLine="420" w:firstLineChars="200"/>
        <w:rPr>
          <w:rFonts w:ascii="黑体" w:hAnsi="黑体" w:eastAsia="黑体"/>
          <w:sz w:val="32"/>
          <w:szCs w:val="32"/>
        </w:rPr>
        <w:sectPr>
          <w:footerReference r:id="rId3" w:type="default"/>
          <w:pgSz w:w="11906" w:h="16838"/>
          <w:pgMar w:top="2098" w:right="1588" w:bottom="1588" w:left="1588" w:header="851" w:footer="992" w:gutter="0"/>
          <w:cols w:space="425" w:num="1"/>
          <w:docGrid w:type="linesAndChars" w:linePitch="312" w:charSpace="0"/>
        </w:sectPr>
      </w:pPr>
      <w:r>
        <w:rPr>
          <w:rFonts w:hint="eastAsia"/>
          <w:lang w:val="en-US" w:eastAsia="zh-CN"/>
        </w:rPr>
        <w:t xml:space="preserve">  </w:t>
      </w:r>
      <w:r>
        <w:drawing>
          <wp:inline distT="0" distB="0" distL="0" distR="0">
            <wp:extent cx="2123440" cy="3379470"/>
            <wp:effectExtent l="0" t="0" r="10160" b="11430"/>
            <wp:docPr id="9" name="图片 9" descr="F:\陈应子\陶处\2020年\3.25规范性文件\规范性文件一套\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陈应子\陶处\2020年\3.25规范性文件\规范性文件一套\图片5.png图片5"/>
                    <pic:cNvPicPr>
                      <a:picLocks noChangeAspect="1"/>
                    </pic:cNvPicPr>
                  </pic:nvPicPr>
                  <pic:blipFill>
                    <a:blip r:embed="rId9"/>
                    <a:srcRect/>
                    <a:stretch>
                      <a:fillRect/>
                    </a:stretch>
                  </pic:blipFill>
                  <pic:spPr>
                    <a:xfrm>
                      <a:off x="0" y="0"/>
                      <a:ext cx="2123440" cy="3379712"/>
                    </a:xfrm>
                    <a:prstGeom prst="rect">
                      <a:avLst/>
                    </a:prstGeom>
                  </pic:spPr>
                </pic:pic>
              </a:graphicData>
            </a:graphic>
          </wp:inline>
        </w:drawing>
      </w:r>
      <w:r>
        <w:t xml:space="preserve"> </w:t>
      </w:r>
      <w:r>
        <w:rPr>
          <w:rFonts w:hint="eastAsia"/>
          <w:lang w:val="en-US" w:eastAsia="zh-CN"/>
        </w:rPr>
        <w:t xml:space="preserve"> </w:t>
      </w:r>
      <w:r>
        <w:drawing>
          <wp:inline distT="0" distB="0" distL="0" distR="0">
            <wp:extent cx="1881505" cy="3314700"/>
            <wp:effectExtent l="0" t="0" r="4445" b="0"/>
            <wp:docPr id="10" name="图片 10" descr="F:\陈应子\陶处\2020年\3.25规范性文件\规范性文件一套\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陈应子\陶处\2020年\3.25规范性文件\规范性文件一套\图片6.png图片6"/>
                    <pic:cNvPicPr>
                      <a:picLocks noChangeAspect="1"/>
                    </pic:cNvPicPr>
                  </pic:nvPicPr>
                  <pic:blipFill>
                    <a:blip r:embed="rId10"/>
                    <a:srcRect/>
                    <a:stretch>
                      <a:fillRect/>
                    </a:stretch>
                  </pic:blipFill>
                  <pic:spPr>
                    <a:xfrm>
                      <a:off x="0" y="0"/>
                      <a:ext cx="1881505" cy="3315891"/>
                    </a:xfrm>
                    <a:prstGeom prst="rect">
                      <a:avLst/>
                    </a:prstGeom>
                  </pic:spPr>
                </pic:pic>
              </a:graphicData>
            </a:graphic>
          </wp:inline>
        </w:drawing>
      </w:r>
      <w:bookmarkStart w:id="0" w:name="_GoBack"/>
      <w:bookmarkEnd w:id="0"/>
    </w:p>
    <w:p>
      <w:pPr>
        <w:rPr>
          <w:rFonts w:ascii="黑体" w:hAnsi="黑体" w:eastAsia="黑体"/>
          <w:sz w:val="32"/>
          <w:szCs w:val="32"/>
        </w:rPr>
      </w:pPr>
      <w:r>
        <w:rPr>
          <w:rFonts w:hint="eastAsia" w:ascii="黑体" w:hAnsi="黑体" w:eastAsia="黑体"/>
          <w:sz w:val="32"/>
          <w:szCs w:val="32"/>
        </w:rPr>
        <w:t>附件2</w:t>
      </w:r>
    </w:p>
    <w:p>
      <w:pPr>
        <w:jc w:val="center"/>
        <w:rPr>
          <w:rFonts w:ascii="黑体" w:hAnsi="黑体" w:eastAsia="黑体"/>
          <w:sz w:val="32"/>
          <w:szCs w:val="32"/>
        </w:rPr>
      </w:pPr>
      <w:r>
        <w:rPr>
          <w:rFonts w:hint="eastAsia" w:ascii="黑体" w:hAnsi="黑体" w:eastAsia="黑体"/>
          <w:sz w:val="36"/>
          <w:szCs w:val="36"/>
        </w:rPr>
        <w:t>浙江省家政从业人员“居家上门服务证”办证基本流程</w:t>
      </w:r>
    </w:p>
    <w:p>
      <w:pPr>
        <w:rPr>
          <w:rFonts w:ascii="黑体" w:hAnsi="黑体" w:eastAsia="黑体"/>
          <w:sz w:val="32"/>
          <w:szCs w:val="32"/>
        </w:rPr>
        <w:sectPr>
          <w:pgSz w:w="16838" w:h="11906" w:orient="landscape"/>
          <w:pgMar w:top="1588" w:right="1588" w:bottom="1588" w:left="2098" w:header="851" w:footer="992" w:gutter="0"/>
          <w:cols w:space="425" w:num="1"/>
          <w:docGrid w:type="lines" w:linePitch="312" w:charSpace="0"/>
        </w:sectPr>
      </w:pPr>
      <w:r>
        <w:rPr>
          <w:rFonts w:hint="eastAsia" w:ascii="黑体" w:hAnsi="黑体" w:eastAsia="黑体"/>
          <w:sz w:val="32"/>
          <w:szCs w:val="32"/>
        </w:rPr>
        <w:drawing>
          <wp:anchor distT="0" distB="0" distL="114935" distR="114935" simplePos="0" relativeHeight="251658240" behindDoc="1" locked="0" layoutInCell="1" allowOverlap="1">
            <wp:simplePos x="0" y="0"/>
            <wp:positionH relativeFrom="column">
              <wp:posOffset>16510</wp:posOffset>
            </wp:positionH>
            <wp:positionV relativeFrom="paragraph">
              <wp:posOffset>113665</wp:posOffset>
            </wp:positionV>
            <wp:extent cx="8169275" cy="4110990"/>
            <wp:effectExtent l="0" t="0" r="41275" b="3810"/>
            <wp:wrapTight wrapText="bothSides">
              <wp:wrapPolygon>
                <wp:start x="0" y="0"/>
                <wp:lineTo x="0" y="21520"/>
                <wp:lineTo x="21558" y="21520"/>
                <wp:lineTo x="21558" y="0"/>
                <wp:lineTo x="0" y="0"/>
              </wp:wrapPolygon>
            </wp:wrapTight>
            <wp:docPr id="2" name="图片 2" descr="1584071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4071405(1)"/>
                    <pic:cNvPicPr>
                      <a:picLocks noChangeAspect="1"/>
                    </pic:cNvPicPr>
                  </pic:nvPicPr>
                  <pic:blipFill>
                    <a:blip r:embed="rId11"/>
                    <a:srcRect r="633"/>
                    <a:stretch>
                      <a:fillRect/>
                    </a:stretch>
                  </pic:blipFill>
                  <pic:spPr>
                    <a:xfrm>
                      <a:off x="0" y="0"/>
                      <a:ext cx="8169275" cy="4110990"/>
                    </a:xfrm>
                    <a:prstGeom prst="rect">
                      <a:avLst/>
                    </a:prstGeom>
                  </pic:spPr>
                </pic:pic>
              </a:graphicData>
            </a:graphic>
          </wp:anchor>
        </w:drawing>
      </w:r>
    </w:p>
    <w:p>
      <w:pPr>
        <w:spacing w:line="560" w:lineRule="exact"/>
        <w:contextualSpacing/>
        <w:rPr>
          <w:rFonts w:ascii="黑体" w:hAnsi="黑体" w:eastAsia="黑体"/>
          <w:sz w:val="32"/>
          <w:szCs w:val="32"/>
        </w:rPr>
      </w:pPr>
      <w:r>
        <w:rPr>
          <w:rFonts w:hint="eastAsia" w:ascii="黑体" w:hAnsi="黑体" w:eastAsia="黑体"/>
          <w:sz w:val="32"/>
          <w:szCs w:val="32"/>
        </w:rPr>
        <w:t>附件3</w:t>
      </w:r>
    </w:p>
    <w:p>
      <w:pPr>
        <w:spacing w:line="560" w:lineRule="exact"/>
        <w:contextualSpacing/>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金华市商务局关于“双证合一”</w:t>
      </w:r>
    </w:p>
    <w:p>
      <w:pPr>
        <w:spacing w:line="560" w:lineRule="exact"/>
        <w:contextualSpacing/>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加快推进家政服务业规范化品质化发展经验做法</w:t>
      </w:r>
    </w:p>
    <w:p>
      <w:pPr>
        <w:spacing w:line="560" w:lineRule="exact"/>
        <w:contextualSpacing/>
        <w:jc w:val="center"/>
        <w:rPr>
          <w:rFonts w:asciiTheme="majorEastAsia" w:hAnsiTheme="majorEastAsia" w:eastAsiaTheme="majorEastAsia"/>
          <w:b/>
          <w:sz w:val="36"/>
          <w:szCs w:val="36"/>
        </w:rPr>
      </w:pPr>
    </w:p>
    <w:p>
      <w:pPr>
        <w:spacing w:line="560" w:lineRule="exact"/>
        <w:ind w:firstLine="640" w:firstLineChars="200"/>
        <w:contextualSpacing/>
        <w:rPr>
          <w:rFonts w:ascii="仿宋" w:hAnsi="仿宋" w:eastAsia="仿宋" w:cs="仿宋"/>
          <w:sz w:val="32"/>
          <w:szCs w:val="32"/>
        </w:rPr>
      </w:pPr>
      <w:r>
        <w:rPr>
          <w:rFonts w:hint="eastAsia" w:ascii="仿宋" w:hAnsi="仿宋" w:eastAsia="仿宋" w:cs="仿宋"/>
          <w:sz w:val="32"/>
          <w:szCs w:val="32"/>
        </w:rPr>
        <w:t>为建立和推进金华市家政服务行业信用体系建设，贯彻落实商务部《关于建立家政服务业信用体系的指导意见》，我市大力推进“互联网+家政服务+信用”应用工作，着力推行商务部平台信用证和市家协服务证“双证合一”做法，截至目前，全市已有44家家政企业、3409名从业人员在商务部平台中注册，上传了信用信息并获得通过，1164名从业人员取得了市家协颁发的《居家上门服务证》，家政信用体系建设进一步完善，家政服务业发展更加规范化、品质化。</w:t>
      </w:r>
    </w:p>
    <w:p>
      <w:pPr>
        <w:spacing w:line="560" w:lineRule="exact"/>
        <w:ind w:firstLine="640" w:firstLineChars="200"/>
        <w:contextualSpacing/>
        <w:rPr>
          <w:rFonts w:ascii="黑体" w:hAnsi="黑体" w:eastAsia="黑体" w:cs="仿宋"/>
          <w:sz w:val="32"/>
          <w:szCs w:val="32"/>
        </w:rPr>
      </w:pPr>
      <w:r>
        <w:rPr>
          <w:rFonts w:hint="eastAsia" w:ascii="黑体" w:hAnsi="黑体" w:eastAsia="黑体" w:cs="仿宋"/>
          <w:sz w:val="32"/>
          <w:szCs w:val="32"/>
        </w:rPr>
        <w:t>一、主要做法及成效</w:t>
      </w:r>
    </w:p>
    <w:p>
      <w:pPr>
        <w:spacing w:line="560" w:lineRule="exact"/>
        <w:ind w:firstLine="640" w:firstLineChars="200"/>
        <w:contextualSpacing/>
        <w:rPr>
          <w:rFonts w:ascii="仿宋" w:hAnsi="仿宋" w:eastAsia="仿宋" w:cs="仿宋"/>
          <w:sz w:val="32"/>
          <w:szCs w:val="32"/>
        </w:rPr>
      </w:pPr>
      <w:r>
        <w:rPr>
          <w:rFonts w:hint="eastAsia" w:ascii="楷体" w:hAnsi="楷体" w:eastAsia="楷体" w:cs="仿宋"/>
          <w:sz w:val="32"/>
          <w:szCs w:val="32"/>
        </w:rPr>
        <w:t>（一）政府引导强化政策支持</w:t>
      </w:r>
      <w:r>
        <w:rPr>
          <w:rFonts w:hint="eastAsia" w:ascii="仿宋" w:hAnsi="仿宋" w:eastAsia="仿宋" w:cs="仿宋"/>
          <w:sz w:val="32"/>
          <w:szCs w:val="32"/>
        </w:rPr>
        <w:t>。以领导重视、部门主抓、调动协会力量为工作格局，将金华家政行业信用体系建设列入市商务部门年度重点工作。召开专题会议，向市家协、家政企业贯彻落实国家有关信用体系建设的目标、政策和工作要求，出台《关于开展市区家政服务行业信用建设的通知》，给予家政行业信用发展政策支持。开展“商务部业务系统统一平台”的操作培训，建立微信工作群，及时反馈解决操作中的难点和问题，确保企业管理人员能熟练使用平台系统。</w:t>
      </w:r>
    </w:p>
    <w:p>
      <w:pPr>
        <w:spacing w:line="560" w:lineRule="exact"/>
        <w:ind w:firstLine="640" w:firstLineChars="200"/>
        <w:contextualSpacing/>
        <w:rPr>
          <w:rFonts w:ascii="仿宋" w:hAnsi="仿宋" w:eastAsia="仿宋" w:cs="仿宋"/>
          <w:sz w:val="32"/>
          <w:szCs w:val="32"/>
        </w:rPr>
      </w:pPr>
      <w:r>
        <w:rPr>
          <w:rFonts w:hint="eastAsia" w:ascii="楷体" w:hAnsi="楷体" w:eastAsia="楷体" w:cs="仿宋"/>
          <w:sz w:val="32"/>
          <w:szCs w:val="32"/>
        </w:rPr>
        <w:t>（二）创新提出“双线并举、双证合一”举措。</w:t>
      </w:r>
      <w:r>
        <w:rPr>
          <w:rFonts w:hint="eastAsia" w:ascii="仿宋" w:hAnsi="仿宋" w:eastAsia="仿宋" w:cs="仿宋"/>
          <w:sz w:val="32"/>
          <w:szCs w:val="32"/>
        </w:rPr>
        <w:t>为保证资料的完整性和真实性，提出“双线并举、双证合一”的求质做法，即企业在“商务部业务系统统一平台”上传从业人员信息的同时，还需对应市家协服务证的流程信息。企业需按照商务部“家政服务员信用记录”、“家政服务员信用信息授权书”的样本填制书面材料送交市家协审核建档，市家协审核通过后发放《金华市家政从业人员居家上门服务证》，消费者通过扫描服务证上的二维码能够直观获取服务人员的个人信息，实现线上线下双证信息的真实、完整、一致。从业人员只有同时取得线上商务部平台“家政服务员信用查询证书”和线下市家政协会发放的居家上门服务证，才能享受相应的扶持政策。</w:t>
      </w:r>
    </w:p>
    <w:p>
      <w:pPr>
        <w:spacing w:line="560" w:lineRule="exact"/>
        <w:ind w:firstLine="640" w:firstLineChars="200"/>
        <w:contextualSpacing/>
        <w:rPr>
          <w:rFonts w:ascii="仿宋" w:hAnsi="仿宋" w:eastAsia="仿宋" w:cs="仿宋"/>
          <w:sz w:val="32"/>
          <w:szCs w:val="32"/>
        </w:rPr>
      </w:pPr>
      <w:r>
        <w:rPr>
          <w:rFonts w:hint="eastAsia" w:ascii="楷体" w:hAnsi="楷体" w:eastAsia="楷体" w:cs="仿宋"/>
          <w:sz w:val="32"/>
          <w:szCs w:val="32"/>
        </w:rPr>
        <w:t>（三）多方合作确保工作有序推进。</w:t>
      </w:r>
      <w:r>
        <w:rPr>
          <w:rFonts w:hint="eastAsia" w:ascii="仿宋" w:hAnsi="仿宋" w:eastAsia="仿宋" w:cs="仿宋"/>
          <w:sz w:val="32"/>
          <w:szCs w:val="32"/>
        </w:rPr>
        <w:t>政府与协会共同组织开展家政行业信用项目和服务证推进工作，合作征信平台负责技术支持，对从业人员实施背景核查、身体检查、参保家政险以及审核技能证书，建立体检、投保的实惠通道，便于企业全面了解员工背景及健康情况，加大了从业人员上岗服务的安全保障，降低消费者投诉纠纷风险。目前共剔除8名背景信用有问题和279名体检有悖健康要求的人员，1164名从业人员取得了市家协颁发的《居家上门服务证》。加强督促，市商务局及时向市家协和会员企业定期发布上报通过的信用数据。通过会员企业专网、工作群等渠道宣传相关信息，扩大政策知晓面，提高家政企业和从业人员报送资料的积极性。</w:t>
      </w:r>
    </w:p>
    <w:p>
      <w:pPr>
        <w:numPr>
          <w:ilvl w:val="0"/>
          <w:numId w:val="1"/>
        </w:numPr>
        <w:spacing w:line="560" w:lineRule="exact"/>
        <w:ind w:firstLine="640" w:firstLineChars="200"/>
        <w:contextualSpacing/>
        <w:rPr>
          <w:rFonts w:ascii="黑体" w:hAnsi="黑体" w:eastAsia="黑体" w:cs="仿宋"/>
          <w:sz w:val="32"/>
          <w:szCs w:val="32"/>
        </w:rPr>
      </w:pPr>
      <w:r>
        <w:rPr>
          <w:rFonts w:hint="eastAsia" w:ascii="黑体" w:hAnsi="黑体" w:eastAsia="黑体" w:cs="仿宋"/>
          <w:sz w:val="32"/>
          <w:szCs w:val="32"/>
        </w:rPr>
        <w:t>下一步工作举措</w:t>
      </w:r>
    </w:p>
    <w:p>
      <w:pPr>
        <w:spacing w:line="560" w:lineRule="exact"/>
        <w:ind w:firstLine="640" w:firstLineChars="200"/>
        <w:contextualSpacing/>
        <w:rPr>
          <w:rFonts w:ascii="仿宋" w:hAnsi="仿宋" w:eastAsia="仿宋" w:cs="仿宋"/>
          <w:sz w:val="32"/>
          <w:szCs w:val="32"/>
        </w:rPr>
      </w:pPr>
      <w:r>
        <w:rPr>
          <w:rFonts w:hint="eastAsia" w:ascii="楷体" w:hAnsi="楷体" w:eastAsia="楷体" w:cs="仿宋"/>
          <w:sz w:val="32"/>
          <w:szCs w:val="32"/>
        </w:rPr>
        <w:t>（一）扩大宣传效应。</w:t>
      </w:r>
      <w:r>
        <w:rPr>
          <w:rFonts w:hint="eastAsia" w:ascii="仿宋" w:hAnsi="仿宋" w:eastAsia="仿宋" w:cs="仿宋"/>
          <w:sz w:val="32"/>
          <w:szCs w:val="32"/>
        </w:rPr>
        <w:t>广泛利用传统媒体、门户网站、社交平台等媒介，向社会大力宣传推广商务部信用平台和居家上门服务证，让消费者知晓“双证”，使用“双证”，优先选用有证服务人员，以此倒逼无证服务人员快速融入信用体系和服务证行列，逐步实现无证不上岗，着力提升消费者的获得感、幸福感、安全感。</w:t>
      </w:r>
    </w:p>
    <w:p>
      <w:pPr>
        <w:spacing w:line="560" w:lineRule="exact"/>
        <w:ind w:firstLine="640" w:firstLineChars="200"/>
        <w:contextualSpacing/>
        <w:rPr>
          <w:rFonts w:ascii="仿宋" w:hAnsi="仿宋" w:eastAsia="仿宋" w:cs="仿宋"/>
          <w:sz w:val="32"/>
          <w:szCs w:val="32"/>
        </w:rPr>
      </w:pPr>
      <w:r>
        <w:rPr>
          <w:rFonts w:hint="eastAsia" w:ascii="楷体" w:hAnsi="楷体" w:eastAsia="楷体" w:cs="仿宋"/>
          <w:sz w:val="32"/>
          <w:szCs w:val="32"/>
        </w:rPr>
        <w:t>（二）提升人员素质。</w:t>
      </w:r>
      <w:r>
        <w:rPr>
          <w:rFonts w:hint="eastAsia" w:ascii="仿宋" w:hAnsi="仿宋" w:eastAsia="仿宋" w:cs="仿宋"/>
          <w:sz w:val="32"/>
          <w:szCs w:val="32"/>
        </w:rPr>
        <w:t>综合运用政府培训、企业培训、实训基地等形式，对从业人员开展岗前培训、“回炉”培训，提高从业人员专业技能，提升行业服务水准；将诚信教育列入职业培训内容，弘扬诚信文化，培养从业人员诚信理念，提高从业人员诚信意识，进一步推动行业诚信氛围。</w:t>
      </w:r>
    </w:p>
    <w:p>
      <w:pPr>
        <w:spacing w:line="560" w:lineRule="exact"/>
        <w:ind w:firstLine="640" w:firstLineChars="200"/>
        <w:contextualSpacing/>
        <w:rPr>
          <w:rFonts w:ascii="仿宋" w:hAnsi="仿宋" w:eastAsia="仿宋" w:cs="仿宋"/>
          <w:sz w:val="32"/>
          <w:szCs w:val="32"/>
        </w:rPr>
      </w:pPr>
      <w:r>
        <w:rPr>
          <w:rFonts w:hint="eastAsia" w:ascii="楷体" w:hAnsi="楷体" w:eastAsia="楷体" w:cs="仿宋"/>
          <w:sz w:val="32"/>
          <w:szCs w:val="32"/>
        </w:rPr>
        <w:t>（三）优化行业环境。</w:t>
      </w:r>
      <w:r>
        <w:rPr>
          <w:rFonts w:hint="eastAsia" w:ascii="仿宋" w:hAnsi="仿宋" w:eastAsia="仿宋" w:cs="仿宋"/>
          <w:sz w:val="32"/>
          <w:szCs w:val="32"/>
        </w:rPr>
        <w:t>指导支持家政企业为员工投保职业保险，完善从业人员体检标准和结果追溯制度；推广使用家政服务合同示范文本，公开服务项目和收费标准，开展家政服务质量认证和等级评定，促进我市家政服务业提质提效，高质量发展。</w:t>
      </w:r>
    </w:p>
    <w:p>
      <w:pPr>
        <w:jc w:val="center"/>
        <w:rPr>
          <w:rFonts w:asciiTheme="majorEastAsia" w:hAnsiTheme="majorEastAsia" w:eastAsiaTheme="majorEastAsia"/>
          <w:b/>
          <w:sz w:val="36"/>
          <w:szCs w:val="36"/>
        </w:rPr>
      </w:pPr>
    </w:p>
    <w:sectPr>
      <w:pgSz w:w="11906" w:h="16838"/>
      <w:pgMar w:top="2098" w:right="1588" w:bottom="1588" w:left="158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2088304"/>
    </w:sdtPr>
    <w:sdtEndPr>
      <w:rPr>
        <w:sz w:val="24"/>
        <w:szCs w:val="24"/>
      </w:rPr>
    </w:sdtEndPr>
    <w:sdtContent>
      <w:p>
        <w:pPr>
          <w:pStyle w:val="3"/>
          <w:jc w:val="right"/>
          <w:rPr>
            <w:sz w:val="24"/>
            <w:szCs w:val="24"/>
          </w:rPr>
        </w:pPr>
        <w:r>
          <w:rPr>
            <w:rFonts w:hint="eastAsia"/>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1</w:t>
        </w:r>
        <w:r>
          <w:rPr>
            <w:sz w:val="24"/>
            <w:szCs w:val="24"/>
          </w:rPr>
          <w:fldChar w:fldCharType="end"/>
        </w:r>
        <w:r>
          <w:rPr>
            <w:rFonts w:hint="eastAsia"/>
            <w:sz w:val="24"/>
            <w:szCs w:val="24"/>
          </w:rPr>
          <w:t>-</w:t>
        </w:r>
      </w:p>
    </w:sdtContent>
  </w:sdt>
  <w:p>
    <w:pPr>
      <w:pStyle w:val="3"/>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006808"/>
    <w:multiLevelType w:val="singleLevel"/>
    <w:tmpl w:val="5E006808"/>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47E"/>
    <w:rsid w:val="00001423"/>
    <w:rsid w:val="000125E8"/>
    <w:rsid w:val="000272CE"/>
    <w:rsid w:val="00033C34"/>
    <w:rsid w:val="00035709"/>
    <w:rsid w:val="00036DD2"/>
    <w:rsid w:val="000600F4"/>
    <w:rsid w:val="000731D4"/>
    <w:rsid w:val="00075AF1"/>
    <w:rsid w:val="00086698"/>
    <w:rsid w:val="00093402"/>
    <w:rsid w:val="000A4B3B"/>
    <w:rsid w:val="000A6FE8"/>
    <w:rsid w:val="000C04D9"/>
    <w:rsid w:val="000D05E8"/>
    <w:rsid w:val="000D50D1"/>
    <w:rsid w:val="000E322D"/>
    <w:rsid w:val="000E647E"/>
    <w:rsid w:val="000F1037"/>
    <w:rsid w:val="000F11BF"/>
    <w:rsid w:val="000F5A6E"/>
    <w:rsid w:val="001042C7"/>
    <w:rsid w:val="00111673"/>
    <w:rsid w:val="00143080"/>
    <w:rsid w:val="00155534"/>
    <w:rsid w:val="001575FB"/>
    <w:rsid w:val="00157A11"/>
    <w:rsid w:val="00175BAF"/>
    <w:rsid w:val="0019051B"/>
    <w:rsid w:val="001A1B87"/>
    <w:rsid w:val="001C277F"/>
    <w:rsid w:val="001C2CA8"/>
    <w:rsid w:val="001E5FB8"/>
    <w:rsid w:val="001F3F43"/>
    <w:rsid w:val="001F686A"/>
    <w:rsid w:val="00205F31"/>
    <w:rsid w:val="00235A57"/>
    <w:rsid w:val="00243987"/>
    <w:rsid w:val="002457C3"/>
    <w:rsid w:val="00252280"/>
    <w:rsid w:val="00253138"/>
    <w:rsid w:val="00254503"/>
    <w:rsid w:val="002577D8"/>
    <w:rsid w:val="00271052"/>
    <w:rsid w:val="00281661"/>
    <w:rsid w:val="00281EF3"/>
    <w:rsid w:val="00283C48"/>
    <w:rsid w:val="00294E9F"/>
    <w:rsid w:val="002A7C73"/>
    <w:rsid w:val="002B047E"/>
    <w:rsid w:val="002C2A85"/>
    <w:rsid w:val="002D76D6"/>
    <w:rsid w:val="002E25C2"/>
    <w:rsid w:val="002F2E4B"/>
    <w:rsid w:val="002F380C"/>
    <w:rsid w:val="00334582"/>
    <w:rsid w:val="00336530"/>
    <w:rsid w:val="00351455"/>
    <w:rsid w:val="00354204"/>
    <w:rsid w:val="00357487"/>
    <w:rsid w:val="0035760B"/>
    <w:rsid w:val="00357940"/>
    <w:rsid w:val="003655A9"/>
    <w:rsid w:val="0036713E"/>
    <w:rsid w:val="00370D16"/>
    <w:rsid w:val="00385BE9"/>
    <w:rsid w:val="00390032"/>
    <w:rsid w:val="00396410"/>
    <w:rsid w:val="00397B55"/>
    <w:rsid w:val="003B5B17"/>
    <w:rsid w:val="003B641B"/>
    <w:rsid w:val="003B7B0E"/>
    <w:rsid w:val="003D0880"/>
    <w:rsid w:val="003D0FF3"/>
    <w:rsid w:val="003D2632"/>
    <w:rsid w:val="003E3B5F"/>
    <w:rsid w:val="004002F8"/>
    <w:rsid w:val="00403D8B"/>
    <w:rsid w:val="00423368"/>
    <w:rsid w:val="00427AF3"/>
    <w:rsid w:val="0046090E"/>
    <w:rsid w:val="004643A5"/>
    <w:rsid w:val="00467470"/>
    <w:rsid w:val="00472306"/>
    <w:rsid w:val="00472B19"/>
    <w:rsid w:val="0047639A"/>
    <w:rsid w:val="00490BC7"/>
    <w:rsid w:val="0049773E"/>
    <w:rsid w:val="004A1904"/>
    <w:rsid w:val="004B14BB"/>
    <w:rsid w:val="004B59A8"/>
    <w:rsid w:val="004B646E"/>
    <w:rsid w:val="004C26F9"/>
    <w:rsid w:val="004C398C"/>
    <w:rsid w:val="004E4309"/>
    <w:rsid w:val="004E7F24"/>
    <w:rsid w:val="00507475"/>
    <w:rsid w:val="00515C22"/>
    <w:rsid w:val="00517C29"/>
    <w:rsid w:val="00535196"/>
    <w:rsid w:val="00537314"/>
    <w:rsid w:val="00537FE8"/>
    <w:rsid w:val="005473D7"/>
    <w:rsid w:val="005728EB"/>
    <w:rsid w:val="005771F0"/>
    <w:rsid w:val="00585362"/>
    <w:rsid w:val="00585BA8"/>
    <w:rsid w:val="005B4BFE"/>
    <w:rsid w:val="005C1371"/>
    <w:rsid w:val="005D4358"/>
    <w:rsid w:val="005D73DB"/>
    <w:rsid w:val="005F49BF"/>
    <w:rsid w:val="00612828"/>
    <w:rsid w:val="0063681B"/>
    <w:rsid w:val="00646531"/>
    <w:rsid w:val="00654B2B"/>
    <w:rsid w:val="00657026"/>
    <w:rsid w:val="00660C71"/>
    <w:rsid w:val="00670232"/>
    <w:rsid w:val="006720C6"/>
    <w:rsid w:val="00672463"/>
    <w:rsid w:val="00681F02"/>
    <w:rsid w:val="00691D9C"/>
    <w:rsid w:val="006977FD"/>
    <w:rsid w:val="006A0390"/>
    <w:rsid w:val="006A439D"/>
    <w:rsid w:val="006C1786"/>
    <w:rsid w:val="006C36FD"/>
    <w:rsid w:val="006C58BA"/>
    <w:rsid w:val="006D3CB2"/>
    <w:rsid w:val="006F5112"/>
    <w:rsid w:val="0070391A"/>
    <w:rsid w:val="00703E8E"/>
    <w:rsid w:val="007128CD"/>
    <w:rsid w:val="0071400D"/>
    <w:rsid w:val="00742825"/>
    <w:rsid w:val="00744EDE"/>
    <w:rsid w:val="0076378B"/>
    <w:rsid w:val="00777FCC"/>
    <w:rsid w:val="0079233F"/>
    <w:rsid w:val="007A30ED"/>
    <w:rsid w:val="007A63E9"/>
    <w:rsid w:val="007B155C"/>
    <w:rsid w:val="007B47F5"/>
    <w:rsid w:val="007E3ABB"/>
    <w:rsid w:val="007F787C"/>
    <w:rsid w:val="00800D36"/>
    <w:rsid w:val="00824AC9"/>
    <w:rsid w:val="0084164A"/>
    <w:rsid w:val="00842ED5"/>
    <w:rsid w:val="008561D8"/>
    <w:rsid w:val="00863430"/>
    <w:rsid w:val="00886829"/>
    <w:rsid w:val="0089401E"/>
    <w:rsid w:val="008C3B15"/>
    <w:rsid w:val="008D247B"/>
    <w:rsid w:val="008D5ECC"/>
    <w:rsid w:val="008D68D0"/>
    <w:rsid w:val="00911825"/>
    <w:rsid w:val="00913AA2"/>
    <w:rsid w:val="00933A0D"/>
    <w:rsid w:val="00934154"/>
    <w:rsid w:val="009363D0"/>
    <w:rsid w:val="009375FA"/>
    <w:rsid w:val="00940CDB"/>
    <w:rsid w:val="00943322"/>
    <w:rsid w:val="00960C25"/>
    <w:rsid w:val="00981C86"/>
    <w:rsid w:val="00984FB1"/>
    <w:rsid w:val="0098584B"/>
    <w:rsid w:val="009C16A8"/>
    <w:rsid w:val="009C6AE2"/>
    <w:rsid w:val="009E69B8"/>
    <w:rsid w:val="009F1106"/>
    <w:rsid w:val="009F708C"/>
    <w:rsid w:val="00A1224D"/>
    <w:rsid w:val="00A15EEE"/>
    <w:rsid w:val="00A52EC1"/>
    <w:rsid w:val="00A57527"/>
    <w:rsid w:val="00A76EA3"/>
    <w:rsid w:val="00A804DB"/>
    <w:rsid w:val="00AA0326"/>
    <w:rsid w:val="00AA49D4"/>
    <w:rsid w:val="00AF75A9"/>
    <w:rsid w:val="00B02898"/>
    <w:rsid w:val="00B31CEC"/>
    <w:rsid w:val="00B600EF"/>
    <w:rsid w:val="00B7293A"/>
    <w:rsid w:val="00B77191"/>
    <w:rsid w:val="00B84826"/>
    <w:rsid w:val="00B85106"/>
    <w:rsid w:val="00B86049"/>
    <w:rsid w:val="00B90D3C"/>
    <w:rsid w:val="00B91E48"/>
    <w:rsid w:val="00B95E16"/>
    <w:rsid w:val="00BA62C7"/>
    <w:rsid w:val="00BB2889"/>
    <w:rsid w:val="00BB3469"/>
    <w:rsid w:val="00BC4B81"/>
    <w:rsid w:val="00BD0B9D"/>
    <w:rsid w:val="00BD0BAE"/>
    <w:rsid w:val="00BE3492"/>
    <w:rsid w:val="00BE4D92"/>
    <w:rsid w:val="00BF0905"/>
    <w:rsid w:val="00BF20BB"/>
    <w:rsid w:val="00BF3E70"/>
    <w:rsid w:val="00BF6F15"/>
    <w:rsid w:val="00C05A49"/>
    <w:rsid w:val="00C1770C"/>
    <w:rsid w:val="00C32789"/>
    <w:rsid w:val="00C32803"/>
    <w:rsid w:val="00C3696A"/>
    <w:rsid w:val="00C93F84"/>
    <w:rsid w:val="00C9487C"/>
    <w:rsid w:val="00C95A0E"/>
    <w:rsid w:val="00CA6880"/>
    <w:rsid w:val="00CD6135"/>
    <w:rsid w:val="00CF3610"/>
    <w:rsid w:val="00CF463B"/>
    <w:rsid w:val="00D06414"/>
    <w:rsid w:val="00D1478E"/>
    <w:rsid w:val="00D3279B"/>
    <w:rsid w:val="00D4394D"/>
    <w:rsid w:val="00D51595"/>
    <w:rsid w:val="00D52320"/>
    <w:rsid w:val="00D81230"/>
    <w:rsid w:val="00D838D6"/>
    <w:rsid w:val="00D9182A"/>
    <w:rsid w:val="00DD5BDC"/>
    <w:rsid w:val="00DE7796"/>
    <w:rsid w:val="00E04091"/>
    <w:rsid w:val="00E22B6F"/>
    <w:rsid w:val="00E4104C"/>
    <w:rsid w:val="00E433E9"/>
    <w:rsid w:val="00E44CA3"/>
    <w:rsid w:val="00E47698"/>
    <w:rsid w:val="00E53C31"/>
    <w:rsid w:val="00E95358"/>
    <w:rsid w:val="00EA4DA0"/>
    <w:rsid w:val="00EB2CDE"/>
    <w:rsid w:val="00EC41DA"/>
    <w:rsid w:val="00ED7EBE"/>
    <w:rsid w:val="00EE652C"/>
    <w:rsid w:val="00EF5A9B"/>
    <w:rsid w:val="00F00EB6"/>
    <w:rsid w:val="00F12232"/>
    <w:rsid w:val="00F262A5"/>
    <w:rsid w:val="00F372F3"/>
    <w:rsid w:val="00F53892"/>
    <w:rsid w:val="00F61F46"/>
    <w:rsid w:val="00F6515F"/>
    <w:rsid w:val="00F761B9"/>
    <w:rsid w:val="00F86BD8"/>
    <w:rsid w:val="00FA6F45"/>
    <w:rsid w:val="00FB0D77"/>
    <w:rsid w:val="00FB28DA"/>
    <w:rsid w:val="00FB6D1B"/>
    <w:rsid w:val="00FC0ADA"/>
    <w:rsid w:val="00FD46A7"/>
    <w:rsid w:val="00FF0334"/>
    <w:rsid w:val="00FF5AC8"/>
    <w:rsid w:val="32117DE5"/>
    <w:rsid w:val="3E721B5F"/>
    <w:rsid w:val="6F133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5"/>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unhideWhenUsed/>
    <w:qFormat/>
    <w:uiPriority w:val="99"/>
    <w:rPr>
      <w:rFonts w:eastAsiaTheme="minorEastAsia"/>
      <w:sz w:val="24"/>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Hyperlink"/>
    <w:qFormat/>
    <w:uiPriority w:val="0"/>
    <w:rPr>
      <w:color w:val="0000FF"/>
      <w:u w:val="single"/>
    </w:rPr>
  </w:style>
  <w:style w:type="character" w:customStyle="1" w:styleId="10">
    <w:name w:val="页眉 Char"/>
    <w:basedOn w:val="8"/>
    <w:link w:val="4"/>
    <w:qFormat/>
    <w:uiPriority w:val="99"/>
    <w:rPr>
      <w:sz w:val="18"/>
      <w:szCs w:val="18"/>
    </w:rPr>
  </w:style>
  <w:style w:type="character" w:customStyle="1" w:styleId="11">
    <w:name w:val="页脚 Char"/>
    <w:basedOn w:val="8"/>
    <w:link w:val="3"/>
    <w:uiPriority w:val="99"/>
    <w:rPr>
      <w:sz w:val="18"/>
      <w:szCs w:val="18"/>
    </w:rPr>
  </w:style>
  <w:style w:type="paragraph" w:styleId="12">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13">
    <w:name w:val="Char Char"/>
    <w:basedOn w:val="1"/>
    <w:semiHidden/>
    <w:qFormat/>
    <w:uiPriority w:val="0"/>
    <w:pPr>
      <w:tabs>
        <w:tab w:val="left" w:pos="4665"/>
        <w:tab w:val="left" w:pos="8970"/>
      </w:tabs>
      <w:spacing w:before="90" w:after="60"/>
      <w:ind w:left="1425" w:firstLine="400"/>
    </w:pPr>
    <w:rPr>
      <w:rFonts w:ascii="Tahoma" w:hAnsi="Tahoma"/>
      <w:sz w:val="22"/>
      <w:szCs w:val="20"/>
    </w:rPr>
  </w:style>
  <w:style w:type="table" w:customStyle="1" w:styleId="14">
    <w:name w:val="网格型1"/>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批注框文本 Char"/>
    <w:basedOn w:val="8"/>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9487A-B1B5-4584-8012-E995F2537D4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Pages>
  <Words>586</Words>
  <Characters>3343</Characters>
  <Lines>27</Lines>
  <Paragraphs>7</Paragraphs>
  <TotalTime>1</TotalTime>
  <ScaleCrop>false</ScaleCrop>
  <LinksUpToDate>false</LinksUpToDate>
  <CharactersWithSpaces>3922</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2020-03-25T03:00:00Z</dcterms:created>
  <dc:creator>mj</dc:creator>
  <cp:lastModifiedBy>应子（Léna）</cp:lastModifiedBy>
  <cp:lastPrinted>2020-03-25T01:45:00Z</cp:lastPrinted>
  <dcterms:modified xsi:type="dcterms:W3CDTF">2020-03-25T05:26:21Z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