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8" w:line="219" w:lineRule="auto"/>
        <w:ind w:left="43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spacing w:val="-2"/>
          <w:sz w:val="32"/>
          <w:szCs w:val="32"/>
        </w:rPr>
        <w:t>附件</w:t>
      </w:r>
    </w:p>
    <w:p>
      <w:pPr>
        <w:spacing w:before="255" w:line="219" w:lineRule="auto"/>
        <w:ind w:left="378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39"/>
          <w:sz w:val="32"/>
          <w:szCs w:val="32"/>
        </w:rPr>
        <w:t>县域商业体系建设工作方案基本内容及具体要求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4" w:line="223" w:lineRule="auto"/>
        <w:ind w:left="66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一</w:t>
      </w:r>
      <w:r>
        <w:rPr>
          <w:rFonts w:ascii="黑体" w:hAnsi="黑体" w:eastAsia="黑体" w:cs="黑体"/>
          <w:spacing w:val="-8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、基本情况</w:t>
      </w:r>
    </w:p>
    <w:p>
      <w:pPr>
        <w:spacing w:before="237" w:line="359" w:lineRule="auto"/>
        <w:ind w:left="43" w:right="135" w:firstLine="6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4"/>
          <w:sz w:val="32"/>
          <w:szCs w:val="32"/>
        </w:rPr>
        <w:t>(一)县域商业概况。</w:t>
      </w:r>
      <w:r>
        <w:rPr>
          <w:rFonts w:ascii="仿宋" w:hAnsi="仿宋" w:eastAsia="仿宋" w:cs="仿宋"/>
          <w:spacing w:val="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本县域(包括县、市、区等，以下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简称县)乡(镇、街道)、行政村的数量、人口、消费等基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本情况；县域主要商业设施数量、覆盖率、基本功能等摸底</w:t>
      </w:r>
    </w:p>
    <w:p>
      <w:pPr>
        <w:spacing w:before="1" w:line="222" w:lineRule="auto"/>
        <w:ind w:left="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数据汇总情况。</w:t>
      </w:r>
    </w:p>
    <w:p>
      <w:pPr>
        <w:spacing w:before="230" w:line="358" w:lineRule="auto"/>
        <w:ind w:left="43" w:right="39" w:firstLine="6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9"/>
          <w:sz w:val="32"/>
          <w:szCs w:val="32"/>
        </w:rPr>
        <w:t>(二)前期工作进展。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县域商业组织实施情况，包</w:t>
      </w:r>
      <w:r>
        <w:rPr>
          <w:rFonts w:ascii="仿宋" w:hAnsi="仿宋" w:eastAsia="仿宋" w:cs="仿宋"/>
          <w:spacing w:val="-10"/>
          <w:sz w:val="32"/>
          <w:szCs w:val="32"/>
        </w:rPr>
        <w:t>括建立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县域商业体系领导小组，成立商务、财政、住建、自然资源、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农业农村、供销社和邮政等部门参加的工作协调机制和责任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分工，国家和省级文件贯彻落实情况(主要包括有没有制定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贯彻国家和省17个部门《关于加强县域商业体系建设促进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农村消费的意见》和《浙江省加强县域商业体系建设促进农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村消费实施方案》等文件的实施方案),出台的配套政策等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9"/>
          <w:sz w:val="32"/>
          <w:szCs w:val="32"/>
        </w:rPr>
        <w:t>已开展工作、取得的成效和存在问题(相关文件各</w:t>
      </w:r>
      <w:r>
        <w:rPr>
          <w:rFonts w:ascii="仿宋" w:hAnsi="仿宋" w:eastAsia="仿宋" w:cs="仿宋"/>
          <w:spacing w:val="18"/>
          <w:sz w:val="32"/>
          <w:szCs w:val="32"/>
        </w:rPr>
        <w:t>复印一</w:t>
      </w:r>
    </w:p>
    <w:p>
      <w:pPr>
        <w:spacing w:before="1" w:line="222" w:lineRule="auto"/>
        <w:ind w:left="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份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)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。</w:t>
      </w:r>
    </w:p>
    <w:p>
      <w:pPr>
        <w:spacing w:before="330" w:line="221" w:lineRule="auto"/>
        <w:ind w:left="738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二、</w:t>
      </w:r>
      <w:r>
        <w:rPr>
          <w:rFonts w:ascii="黑体" w:hAnsi="黑体" w:eastAsia="黑体" w:cs="黑体"/>
          <w:spacing w:val="-4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目标任务</w:t>
      </w:r>
    </w:p>
    <w:p>
      <w:pPr>
        <w:spacing w:before="246" w:line="358" w:lineRule="auto"/>
        <w:ind w:left="43" w:right="53" w:firstLine="69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10"/>
          <w:sz w:val="32"/>
          <w:szCs w:val="32"/>
        </w:rPr>
        <w:t>(一)总体目标和年度分解任务。</w:t>
      </w:r>
      <w:r>
        <w:rPr>
          <w:rFonts w:ascii="仿宋" w:hAnsi="仿宋" w:eastAsia="仿宋" w:cs="仿宋"/>
          <w:spacing w:val="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对照《县域商业建设指</w:t>
      </w:r>
      <w:r>
        <w:rPr>
          <w:rFonts w:ascii="仿宋" w:hAnsi="仿宋" w:eastAsia="仿宋" w:cs="仿宋"/>
          <w:sz w:val="32"/>
          <w:szCs w:val="32"/>
        </w:rPr>
        <w:t xml:space="preserve"> 南》要求，提出县域商业总体目标，包括本县域商贸综合体 和物流配送中心总体布局、乡镇商贸服务中心覆盖率、快递</w:t>
      </w:r>
    </w:p>
    <w:p>
      <w:pPr>
        <w:spacing w:line="220" w:lineRule="auto"/>
        <w:ind w:left="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行政村覆盖率等；结合摸底数据和总体目标，制定</w:t>
      </w:r>
      <w:r>
        <w:rPr>
          <w:rFonts w:ascii="仿宋" w:hAnsi="仿宋" w:eastAsia="仿宋" w:cs="仿宋"/>
          <w:spacing w:val="-6"/>
          <w:sz w:val="32"/>
          <w:szCs w:val="32"/>
        </w:rPr>
        <w:t>工作任务。</w:t>
      </w:r>
    </w:p>
    <w:p>
      <w:pPr>
        <w:sectPr>
          <w:footerReference r:id="rId5" w:type="default"/>
          <w:pgSz w:w="12110" w:h="16970"/>
          <w:pgMar w:top="1442" w:right="1749" w:bottom="1143" w:left="1816" w:header="0" w:footer="997" w:gutter="0"/>
          <w:cols w:space="720" w:num="1"/>
        </w:sectPr>
      </w:pPr>
    </w:p>
    <w:p>
      <w:pPr>
        <w:spacing w:before="188" w:line="626" w:lineRule="exact"/>
        <w:ind w:left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目标任务要可量化、可考核，明确时间表、路线图和责任分</w:t>
      </w:r>
    </w:p>
    <w:p>
      <w:pPr>
        <w:spacing w:line="220" w:lineRule="auto"/>
        <w:ind w:left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工。请填制附表1《总体目标及工作任务表》。</w:t>
      </w:r>
    </w:p>
    <w:p>
      <w:pPr>
        <w:spacing w:before="241" w:line="375" w:lineRule="auto"/>
        <w:ind w:left="56" w:right="200" w:firstLine="6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(二)县城商业建设类型和标准。</w:t>
      </w:r>
      <w:r>
        <w:rPr>
          <w:rFonts w:ascii="仿宋" w:hAnsi="仿宋" w:eastAsia="仿宋" w:cs="仿宋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各县(市、区)要达到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的县域商业建设类型(基本型、增强型、提升型)和标准。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各县因地制宜、实事求是确定建设类型和标准，充分考虑地</w:t>
      </w:r>
    </w:p>
    <w:p>
      <w:pPr>
        <w:spacing w:line="220" w:lineRule="auto"/>
        <w:ind w:left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方差异、人口分布等因素。</w:t>
      </w:r>
    </w:p>
    <w:p>
      <w:pPr>
        <w:spacing w:before="270" w:line="222" w:lineRule="auto"/>
        <w:ind w:left="690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三、</w:t>
      </w:r>
      <w:r>
        <w:rPr>
          <w:rFonts w:ascii="黑体" w:hAnsi="黑体" w:eastAsia="黑体" w:cs="黑体"/>
          <w:spacing w:val="-50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重点工作</w:t>
      </w:r>
    </w:p>
    <w:p>
      <w:pPr>
        <w:spacing w:before="244" w:line="224" w:lineRule="auto"/>
        <w:ind w:left="72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9"/>
          <w:sz w:val="31"/>
          <w:szCs w:val="31"/>
        </w:rPr>
        <w:t>(一)支持县域商业流通基础设施建设。</w:t>
      </w:r>
      <w:r>
        <w:rPr>
          <w:rFonts w:ascii="楷体" w:hAnsi="楷体" w:eastAsia="楷体" w:cs="楷体"/>
          <w:spacing w:val="23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-9"/>
          <w:sz w:val="31"/>
          <w:szCs w:val="31"/>
        </w:rPr>
        <w:t>(</w:t>
      </w:r>
      <w:r>
        <w:rPr>
          <w:rFonts w:ascii="楷体" w:hAnsi="楷体" w:eastAsia="楷体" w:cs="楷体"/>
          <w:spacing w:val="-35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9"/>
          <w:sz w:val="31"/>
          <w:szCs w:val="31"/>
        </w:rPr>
        <w:t>略</w:t>
      </w:r>
      <w:r>
        <w:rPr>
          <w:rFonts w:ascii="楷体" w:hAnsi="楷体" w:eastAsia="楷体" w:cs="楷体"/>
          <w:spacing w:val="-40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9"/>
          <w:sz w:val="31"/>
          <w:szCs w:val="31"/>
        </w:rPr>
        <w:t>)</w:t>
      </w:r>
    </w:p>
    <w:p>
      <w:pPr>
        <w:spacing w:before="251" w:line="223" w:lineRule="auto"/>
        <w:ind w:left="72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7"/>
          <w:sz w:val="31"/>
          <w:szCs w:val="31"/>
        </w:rPr>
        <w:t>(二)支持县域“三点一线”物流体系建设。</w:t>
      </w:r>
      <w:r>
        <w:rPr>
          <w:rFonts w:ascii="楷体" w:hAnsi="楷体" w:eastAsia="楷体" w:cs="楷体"/>
          <w:spacing w:val="31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-7"/>
          <w:sz w:val="31"/>
          <w:szCs w:val="31"/>
        </w:rPr>
        <w:t>(</w:t>
      </w:r>
      <w:r>
        <w:rPr>
          <w:rFonts w:ascii="楷体" w:hAnsi="楷体" w:eastAsia="楷体" w:cs="楷体"/>
          <w:spacing w:val="-40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7"/>
          <w:sz w:val="31"/>
          <w:szCs w:val="31"/>
        </w:rPr>
        <w:t>略</w:t>
      </w:r>
      <w:r>
        <w:rPr>
          <w:rFonts w:ascii="楷体" w:hAnsi="楷体" w:eastAsia="楷体" w:cs="楷体"/>
          <w:spacing w:val="-45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7"/>
          <w:sz w:val="31"/>
          <w:szCs w:val="31"/>
        </w:rPr>
        <w:t>)</w:t>
      </w:r>
    </w:p>
    <w:p>
      <w:pPr>
        <w:spacing w:before="255" w:line="223" w:lineRule="auto"/>
        <w:ind w:left="72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9"/>
          <w:sz w:val="31"/>
          <w:szCs w:val="31"/>
        </w:rPr>
        <w:t>(三)支持农产品流通和冷链设施建设。</w:t>
      </w:r>
      <w:r>
        <w:rPr>
          <w:rFonts w:ascii="楷体" w:hAnsi="楷体" w:eastAsia="楷体" w:cs="楷体"/>
          <w:spacing w:val="33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-9"/>
          <w:sz w:val="31"/>
          <w:szCs w:val="31"/>
        </w:rPr>
        <w:t>(</w:t>
      </w:r>
      <w:r>
        <w:rPr>
          <w:rFonts w:ascii="楷体" w:hAnsi="楷体" w:eastAsia="楷体" w:cs="楷体"/>
          <w:spacing w:val="-35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9"/>
          <w:sz w:val="31"/>
          <w:szCs w:val="31"/>
        </w:rPr>
        <w:t>略</w:t>
      </w:r>
      <w:r>
        <w:rPr>
          <w:rFonts w:ascii="楷体" w:hAnsi="楷体" w:eastAsia="楷体" w:cs="楷体"/>
          <w:spacing w:val="-40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9"/>
          <w:sz w:val="31"/>
          <w:szCs w:val="31"/>
        </w:rPr>
        <w:t>)</w:t>
      </w:r>
    </w:p>
    <w:p>
      <w:pPr>
        <w:spacing w:before="259" w:line="224" w:lineRule="auto"/>
        <w:ind w:left="72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12"/>
          <w:sz w:val="31"/>
          <w:szCs w:val="31"/>
        </w:rPr>
        <w:t>(四)支持商贸流通企业做大做强。</w:t>
      </w:r>
      <w:r>
        <w:rPr>
          <w:rFonts w:ascii="楷体" w:hAnsi="楷体" w:eastAsia="楷体" w:cs="楷体"/>
          <w:spacing w:val="41"/>
          <w:sz w:val="31"/>
          <w:szCs w:val="31"/>
        </w:rPr>
        <w:t xml:space="preserve">  </w:t>
      </w:r>
      <w:r>
        <w:rPr>
          <w:rFonts w:ascii="楷体" w:hAnsi="楷体" w:eastAsia="楷体" w:cs="楷体"/>
          <w:b/>
          <w:bCs/>
          <w:spacing w:val="-12"/>
          <w:sz w:val="31"/>
          <w:szCs w:val="31"/>
        </w:rPr>
        <w:t>(</w:t>
      </w:r>
      <w:r>
        <w:rPr>
          <w:rFonts w:ascii="楷体" w:hAnsi="楷体" w:eastAsia="楷体" w:cs="楷体"/>
          <w:spacing w:val="-40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12"/>
          <w:sz w:val="31"/>
          <w:szCs w:val="31"/>
        </w:rPr>
        <w:t>略</w:t>
      </w:r>
      <w:r>
        <w:rPr>
          <w:rFonts w:ascii="楷体" w:hAnsi="楷体" w:eastAsia="楷体" w:cs="楷体"/>
          <w:spacing w:val="-45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12"/>
          <w:sz w:val="31"/>
          <w:szCs w:val="31"/>
        </w:rPr>
        <w:t>)</w:t>
      </w:r>
    </w:p>
    <w:p>
      <w:pPr>
        <w:spacing w:before="266" w:line="222" w:lineRule="auto"/>
        <w:ind w:left="710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四、</w:t>
      </w:r>
      <w:r>
        <w:rPr>
          <w:rFonts w:ascii="黑体" w:hAnsi="黑体" w:eastAsia="黑体" w:cs="黑体"/>
          <w:spacing w:val="-8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项目计划</w:t>
      </w:r>
    </w:p>
    <w:p>
      <w:pPr>
        <w:spacing w:before="239" w:line="369" w:lineRule="auto"/>
        <w:ind w:left="56" w:firstLine="5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拟支持项目名单以及项目选择程序、依据、责任主体等。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各项目应落实责任单位、考核安排、实施目标等，</w:t>
      </w:r>
      <w:r>
        <w:rPr>
          <w:rFonts w:ascii="仿宋" w:hAnsi="仿宋" w:eastAsia="仿宋" w:cs="仿宋"/>
          <w:spacing w:val="10"/>
          <w:sz w:val="31"/>
          <w:szCs w:val="31"/>
        </w:rPr>
        <w:t>并注重项</w:t>
      </w:r>
    </w:p>
    <w:p>
      <w:pPr>
        <w:spacing w:line="220" w:lineRule="auto"/>
        <w:ind w:left="1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目可持续性。请填制附表2《县域商业项目清单》。</w:t>
      </w:r>
    </w:p>
    <w:p>
      <w:pPr>
        <w:spacing w:before="283" w:line="223" w:lineRule="auto"/>
        <w:ind w:left="720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五、</w:t>
      </w:r>
      <w:r>
        <w:rPr>
          <w:rFonts w:ascii="黑体" w:hAnsi="黑体" w:eastAsia="黑体" w:cs="黑体"/>
          <w:spacing w:val="-5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保障机制</w:t>
      </w:r>
    </w:p>
    <w:p>
      <w:pPr>
        <w:spacing w:before="240" w:line="376" w:lineRule="auto"/>
        <w:ind w:left="56" w:right="32" w:firstLine="6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(一)项目管理制度。</w:t>
      </w:r>
      <w:r>
        <w:rPr>
          <w:rFonts w:ascii="仿宋" w:hAnsi="仿宋" w:eastAsia="仿宋" w:cs="仿宋"/>
          <w:spacing w:val="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提出项目遴选、组织实施</w:t>
      </w:r>
      <w:r>
        <w:rPr>
          <w:rFonts w:ascii="仿宋" w:hAnsi="仿宋" w:eastAsia="仿宋" w:cs="仿宋"/>
          <w:spacing w:val="-2"/>
          <w:sz w:val="31"/>
          <w:szCs w:val="31"/>
        </w:rPr>
        <w:t>、资金拨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付、监督考核工作机制。要求建立“企业目录+项目清单”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机制，加强项目管理。明确项目验收主体、要件、验</w:t>
      </w:r>
      <w:r>
        <w:rPr>
          <w:rFonts w:ascii="仿宋" w:hAnsi="仿宋" w:eastAsia="仿宋" w:cs="仿宋"/>
          <w:spacing w:val="10"/>
          <w:sz w:val="31"/>
          <w:szCs w:val="31"/>
        </w:rPr>
        <w:t>收流程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sz w:val="31"/>
          <w:szCs w:val="31"/>
        </w:rPr>
        <w:t>等，加强资产监督管理，明确资产权属和管护主体责任，形</w:t>
      </w:r>
    </w:p>
    <w:p>
      <w:pPr>
        <w:spacing w:before="1" w:line="221" w:lineRule="auto"/>
        <w:ind w:left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成长效机制。</w:t>
      </w:r>
    </w:p>
    <w:p>
      <w:pPr>
        <w:spacing w:before="253" w:line="222" w:lineRule="auto"/>
        <w:ind w:left="7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(二)日常监督机制。</w:t>
      </w:r>
      <w:r>
        <w:rPr>
          <w:rFonts w:ascii="仿宋" w:hAnsi="仿宋" w:eastAsia="仿宋" w:cs="仿宋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提出日常监督机制，各县可引入审</w:t>
      </w:r>
    </w:p>
    <w:p>
      <w:pPr>
        <w:sectPr>
          <w:footerReference r:id="rId6" w:type="default"/>
          <w:pgSz w:w="12090" w:h="16960"/>
          <w:pgMar w:top="1441" w:right="1704" w:bottom="1175" w:left="1813" w:header="0" w:footer="1026" w:gutter="0"/>
          <w:cols w:space="720" w:num="1"/>
        </w:sectPr>
      </w:pPr>
    </w:p>
    <w:p>
      <w:pPr>
        <w:spacing w:before="159" w:line="369" w:lineRule="auto"/>
        <w:ind w:left="45" w:right="10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计、监理咨询等第三方机构，规范决策过程，加强资金和项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目审核。进一步加强政务公开和信息报送的政</w:t>
      </w:r>
      <w:r>
        <w:rPr>
          <w:rFonts w:ascii="仿宋" w:hAnsi="仿宋" w:eastAsia="仿宋" w:cs="仿宋"/>
          <w:spacing w:val="7"/>
          <w:sz w:val="31"/>
          <w:szCs w:val="31"/>
        </w:rPr>
        <w:t>策措施，县政</w:t>
      </w:r>
    </w:p>
    <w:p>
      <w:pPr>
        <w:spacing w:line="222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府网站设置公开专栏情况。</w:t>
      </w:r>
    </w:p>
    <w:p>
      <w:pPr>
        <w:spacing w:before="260" w:line="376" w:lineRule="auto"/>
        <w:ind w:left="45" w:right="76" w:firstLine="69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z w:val="31"/>
          <w:szCs w:val="31"/>
        </w:rPr>
        <w:t>(三)信息公开机制。</w:t>
      </w:r>
      <w:r>
        <w:rPr>
          <w:rFonts w:ascii="仿宋" w:hAnsi="仿宋" w:eastAsia="仿宋" w:cs="仿宋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进一步加强政务公开和信息报送的 </w:t>
      </w:r>
      <w:r>
        <w:rPr>
          <w:rFonts w:ascii="仿宋" w:hAnsi="仿宋" w:eastAsia="仿宋" w:cs="仿宋"/>
          <w:spacing w:val="10"/>
          <w:sz w:val="31"/>
          <w:szCs w:val="31"/>
        </w:rPr>
        <w:t>政策措施，县政府网站设置公开专栏情况。明确凡是接受</w:t>
      </w:r>
      <w:r>
        <w:rPr>
          <w:rFonts w:ascii="仿宋" w:hAnsi="仿宋" w:eastAsia="仿宋" w:cs="仿宋"/>
          <w:spacing w:val="9"/>
          <w:sz w:val="31"/>
          <w:szCs w:val="31"/>
        </w:rPr>
        <w:t>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央财政奖补的地方和企业，须按要求填报项目相关信息数</w:t>
      </w:r>
    </w:p>
    <w:p>
      <w:pPr>
        <w:spacing w:before="1" w:line="220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据，各级主管部门依法保护信息安全。</w:t>
      </w:r>
    </w:p>
    <w:p>
      <w:pPr>
        <w:spacing w:before="211" w:line="223" w:lineRule="auto"/>
        <w:ind w:left="710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26"/>
          <w:sz w:val="35"/>
          <w:szCs w:val="35"/>
        </w:rPr>
        <w:t>六、附表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2" w:lineRule="auto"/>
        <w:ind w:left="22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1.</w:t>
      </w:r>
      <w:r>
        <w:rPr>
          <w:rFonts w:ascii="仿宋" w:hAnsi="仿宋" w:eastAsia="仿宋" w:cs="仿宋"/>
          <w:spacing w:val="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总体目标及年度分解任务</w:t>
      </w:r>
    </w:p>
    <w:p>
      <w:pPr>
        <w:spacing w:line="101" w:lineRule="exact"/>
      </w:pPr>
    </w:p>
    <w:tbl>
      <w:tblPr>
        <w:tblStyle w:val="4"/>
        <w:tblW w:w="8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3695"/>
        <w:gridCol w:w="988"/>
        <w:gridCol w:w="999"/>
        <w:gridCol w:w="999"/>
        <w:gridCol w:w="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spacing w:before="60" w:line="219" w:lineRule="auto"/>
              <w:ind w:left="1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2021年底数</w:t>
            </w:r>
          </w:p>
        </w:tc>
        <w:tc>
          <w:tcPr>
            <w:tcW w:w="3920" w:type="dxa"/>
            <w:gridSpan w:val="4"/>
            <w:vAlign w:val="top"/>
          </w:tcPr>
          <w:p>
            <w:pPr>
              <w:spacing w:before="20" w:line="219" w:lineRule="auto"/>
              <w:ind w:left="15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0"/>
                <w:szCs w:val="20"/>
              </w:rPr>
              <w:t>支持期内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before="16" w:line="310" w:lineRule="exact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8"/>
                <w:sz w:val="20"/>
                <w:szCs w:val="20"/>
              </w:rPr>
              <w:t>约束</w:t>
            </w:r>
          </w:p>
          <w:p>
            <w:pPr>
              <w:spacing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3695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县级物流配送中心数量、覆盖率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spacing w:before="30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乡镇商贸中心数量、覆盖率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spacing w:before="59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快递进村数量、覆盖率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spacing w:before="20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乡镇村物流整合率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before="31" w:line="299" w:lineRule="exact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0"/>
                <w:szCs w:val="20"/>
              </w:rPr>
              <w:t>建设</w:t>
            </w:r>
          </w:p>
          <w:p>
            <w:pPr>
              <w:spacing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</w:t>
            </w:r>
          </w:p>
        </w:tc>
        <w:tc>
          <w:tcPr>
            <w:tcW w:w="3695" w:type="dxa"/>
            <w:vAlign w:val="top"/>
          </w:tcPr>
          <w:p>
            <w:pPr>
              <w:spacing w:before="61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基本型商业标准的县数量、占比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spacing w:before="64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增强型商业标准的县数量、占比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spacing w:before="65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提升型商业标准的县数量、占比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before="32" w:line="330" w:lineRule="exact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9"/>
                <w:sz w:val="20"/>
                <w:szCs w:val="20"/>
              </w:rPr>
              <w:t>自选</w:t>
            </w:r>
          </w:p>
          <w:p>
            <w:pPr>
              <w:spacing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指标</w:t>
            </w:r>
          </w:p>
        </w:tc>
        <w:tc>
          <w:tcPr>
            <w:tcW w:w="3695" w:type="dxa"/>
            <w:vAlign w:val="top"/>
          </w:tcPr>
          <w:p>
            <w:pPr>
              <w:spacing w:before="65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龙头商贸流通企业数字化转型率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spacing w:before="64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县域社会消费品零售额年增速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spacing w:before="66" w:line="219" w:lineRule="auto"/>
              <w:ind w:lef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乡镇集贸市场标准化率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spacing w:before="114" w:line="169" w:lineRule="exact"/>
              <w:ind w:left="80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6"/>
                <w:position w:val="1"/>
                <w:sz w:val="11"/>
                <w:szCs w:val="11"/>
              </w:rPr>
              <w:t>…</w:t>
            </w:r>
            <w:r>
              <w:rPr>
                <w:rFonts w:ascii="宋体" w:hAnsi="宋体" w:eastAsia="宋体" w:cs="宋体"/>
                <w:spacing w:val="-13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1"/>
                <w:sz w:val="11"/>
                <w:szCs w:val="11"/>
              </w:rPr>
              <w:t>·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3" w:line="477" w:lineRule="auto"/>
        <w:ind w:left="45" w:right="43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注：约束指标为商务部《意见》《指南》所涉</w:t>
      </w:r>
      <w:r>
        <w:rPr>
          <w:rFonts w:ascii="仿宋" w:hAnsi="仿宋" w:eastAsia="仿宋" w:cs="仿宋"/>
          <w:spacing w:val="-2"/>
          <w:sz w:val="24"/>
          <w:szCs w:val="24"/>
        </w:rPr>
        <w:t>及的部分约束性指标，要求除人口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稀少、欠发达县域。在备的地区实现全覆盖。建设标准为</w:t>
      </w:r>
      <w:r>
        <w:rPr>
          <w:rFonts w:ascii="仿宋" w:hAnsi="仿宋" w:eastAsia="仿宋" w:cs="仿宋"/>
          <w:spacing w:val="-2"/>
          <w:sz w:val="24"/>
          <w:szCs w:val="24"/>
        </w:rPr>
        <w:t>《指南》涉及的县乡村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</w:rPr>
        <w:t>商业网点和农村物流配送“三点一线”,由各县结合摸底情况，因地制宜、自主</w:t>
      </w:r>
      <w:r>
        <w:rPr>
          <w:rFonts w:ascii="仿宋" w:hAnsi="仿宋" w:eastAsia="仿宋" w:cs="仿宋"/>
          <w:spacing w:val="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确定建设和改造标准。白选指标由各县结合实际，自主选择反映县域商业发展成</w:t>
      </w:r>
    </w:p>
    <w:p>
      <w:pPr>
        <w:spacing w:line="222" w:lineRule="auto"/>
        <w:ind w:left="4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</w:rPr>
        <w:t>效的指标。</w:t>
      </w:r>
    </w:p>
    <w:p>
      <w:pPr>
        <w:sectPr>
          <w:footerReference r:id="rId7" w:type="default"/>
          <w:pgSz w:w="12090" w:h="16960"/>
          <w:pgMar w:top="1441" w:right="1813" w:bottom="1235" w:left="1804" w:header="0" w:footer="1086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1" w:line="221" w:lineRule="auto"/>
        <w:ind w:left="38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2.县域商业项目清单(示例)</w:t>
      </w:r>
    </w:p>
    <w:p>
      <w:pPr>
        <w:spacing w:line="96" w:lineRule="exact"/>
      </w:pPr>
    </w:p>
    <w:tbl>
      <w:tblPr>
        <w:tblStyle w:val="4"/>
        <w:tblW w:w="10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80"/>
        <w:gridCol w:w="3117"/>
        <w:gridCol w:w="969"/>
        <w:gridCol w:w="1089"/>
        <w:gridCol w:w="979"/>
        <w:gridCol w:w="959"/>
        <w:gridCol w:w="1259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644" w:type="dxa"/>
            <w:textDirection w:val="tbRlV"/>
            <w:vAlign w:val="top"/>
          </w:tcPr>
          <w:p>
            <w:pPr>
              <w:spacing w:before="209" w:line="216" w:lineRule="auto"/>
              <w:ind w:lef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2"/>
                <w:w w:val="175"/>
                <w:sz w:val="22"/>
                <w:szCs w:val="22"/>
              </w:rPr>
              <w:t>年度</w:t>
            </w:r>
          </w:p>
        </w:tc>
        <w:tc>
          <w:tcPr>
            <w:tcW w:w="680" w:type="dxa"/>
            <w:vAlign w:val="top"/>
          </w:tcPr>
          <w:p>
            <w:pPr>
              <w:spacing w:before="154" w:line="599" w:lineRule="exact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position w:val="29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spacing w:val="-5"/>
                <w:position w:val="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9"/>
                <w:sz w:val="22"/>
                <w:szCs w:val="22"/>
              </w:rPr>
              <w:t>目</w:t>
            </w:r>
          </w:p>
          <w:p>
            <w:pPr>
              <w:spacing w:line="219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归属</w:t>
            </w:r>
          </w:p>
        </w:tc>
        <w:tc>
          <w:tcPr>
            <w:tcW w:w="3117" w:type="dxa"/>
            <w:vAlign w:val="top"/>
          </w:tcPr>
          <w:p>
            <w:pPr>
              <w:spacing w:before="161" w:line="220" w:lineRule="auto"/>
              <w:ind w:left="1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项目名称</w:t>
            </w:r>
          </w:p>
        </w:tc>
        <w:tc>
          <w:tcPr>
            <w:tcW w:w="969" w:type="dxa"/>
            <w:vAlign w:val="top"/>
          </w:tcPr>
          <w:p>
            <w:pPr>
              <w:spacing w:before="173" w:line="620" w:lineRule="exact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position w:val="31"/>
                <w:sz w:val="22"/>
                <w:szCs w:val="22"/>
              </w:rPr>
              <w:t>建设类</w:t>
            </w:r>
          </w:p>
          <w:p>
            <w:pPr>
              <w:spacing w:line="227" w:lineRule="auto"/>
              <w:ind w:left="3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型</w:t>
            </w:r>
          </w:p>
        </w:tc>
        <w:tc>
          <w:tcPr>
            <w:tcW w:w="1089" w:type="dxa"/>
            <w:vAlign w:val="top"/>
          </w:tcPr>
          <w:p>
            <w:pPr>
              <w:spacing w:before="171" w:line="219" w:lineRule="auto"/>
              <w:ind w:lef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承办企</w:t>
            </w: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32" w:lineRule="auto"/>
              <w:ind w:left="4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业</w:t>
            </w:r>
          </w:p>
        </w:tc>
        <w:tc>
          <w:tcPr>
            <w:tcW w:w="979" w:type="dxa"/>
            <w:vAlign w:val="top"/>
          </w:tcPr>
          <w:p>
            <w:pPr>
              <w:spacing w:before="154" w:line="639" w:lineRule="exact"/>
              <w:ind w:left="1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32"/>
                <w:sz w:val="22"/>
                <w:szCs w:val="22"/>
              </w:rPr>
              <w:t>总投资</w:t>
            </w:r>
          </w:p>
          <w:p>
            <w:pPr>
              <w:spacing w:line="219" w:lineRule="auto"/>
              <w:ind w:left="3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额</w:t>
            </w:r>
          </w:p>
        </w:tc>
        <w:tc>
          <w:tcPr>
            <w:tcW w:w="959" w:type="dxa"/>
            <w:vAlign w:val="top"/>
          </w:tcPr>
          <w:p>
            <w:pPr>
              <w:spacing w:before="141" w:line="219" w:lineRule="auto"/>
              <w:ind w:left="1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2"/>
                <w:szCs w:val="22"/>
              </w:rPr>
              <w:t>建设内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容</w:t>
            </w:r>
          </w:p>
        </w:tc>
        <w:tc>
          <w:tcPr>
            <w:tcW w:w="1259" w:type="dxa"/>
            <w:vAlign w:val="top"/>
          </w:tcPr>
          <w:p>
            <w:pPr>
              <w:spacing w:before="161" w:line="220" w:lineRule="auto"/>
              <w:ind w:left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建设周期</w:t>
            </w:r>
          </w:p>
        </w:tc>
        <w:tc>
          <w:tcPr>
            <w:tcW w:w="1104" w:type="dxa"/>
            <w:vAlign w:val="top"/>
          </w:tcPr>
          <w:p>
            <w:pPr>
              <w:spacing w:before="151" w:line="220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实现功</w:t>
            </w: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0" w:type="dxa"/>
            <w:gridSpan w:val="9"/>
            <w:vAlign w:val="top"/>
          </w:tcPr>
          <w:p>
            <w:pPr>
              <w:spacing w:before="49" w:line="219" w:lineRule="auto"/>
              <w:ind w:left="48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补短板项目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24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xx县</w:t>
            </w:r>
          </w:p>
        </w:tc>
        <w:tc>
          <w:tcPr>
            <w:tcW w:w="3117" w:type="dxa"/>
            <w:vAlign w:val="top"/>
          </w:tcPr>
          <w:p>
            <w:pPr>
              <w:spacing w:before="22" w:line="220" w:lineRule="auto"/>
              <w:ind w:left="6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县级物流配送中心</w:t>
            </w:r>
          </w:p>
        </w:tc>
        <w:tc>
          <w:tcPr>
            <w:tcW w:w="969" w:type="dxa"/>
            <w:vAlign w:val="top"/>
          </w:tcPr>
          <w:p>
            <w:pPr>
              <w:spacing w:before="32" w:line="220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新建</w:t>
            </w:r>
          </w:p>
        </w:tc>
        <w:tc>
          <w:tcPr>
            <w:tcW w:w="1089" w:type="dxa"/>
            <w:vAlign w:val="top"/>
          </w:tcPr>
          <w:p>
            <w:pPr>
              <w:spacing w:before="54" w:line="224" w:lineRule="auto"/>
              <w:ind w:left="424" w:right="90" w:hanging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xx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邮政公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司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32" w:line="220" w:lineRule="auto"/>
              <w:ind w:left="1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购置xx</w:t>
            </w:r>
          </w:p>
          <w:p>
            <w:pPr>
              <w:spacing w:before="48" w:line="221" w:lineRule="auto"/>
              <w:ind w:left="1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设施配</w:t>
            </w:r>
          </w:p>
          <w:p>
            <w:pPr>
              <w:spacing w:before="66" w:line="214" w:lineRule="auto"/>
              <w:ind w:left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备</w:t>
            </w:r>
          </w:p>
        </w:tc>
        <w:tc>
          <w:tcPr>
            <w:tcW w:w="1259" w:type="dxa"/>
            <w:vAlign w:val="top"/>
          </w:tcPr>
          <w:p>
            <w:pPr>
              <w:spacing w:before="67" w:line="320" w:lineRule="exact"/>
              <w:ind w:lef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22"/>
                <w:szCs w:val="22"/>
              </w:rPr>
              <w:t>2021.08-2</w:t>
            </w:r>
          </w:p>
          <w:p>
            <w:pPr>
              <w:spacing w:line="183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023.01</w:t>
            </w: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7" w:type="dxa"/>
            <w:vAlign w:val="top"/>
          </w:tcPr>
          <w:p>
            <w:pPr>
              <w:spacing w:before="54" w:line="219" w:lineRule="auto"/>
              <w:ind w:left="7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Xx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乡镇商贸中心</w:t>
            </w:r>
          </w:p>
        </w:tc>
        <w:tc>
          <w:tcPr>
            <w:tcW w:w="969" w:type="dxa"/>
            <w:vAlign w:val="top"/>
          </w:tcPr>
          <w:p>
            <w:pPr>
              <w:spacing w:before="54" w:line="219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改造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7" w:type="dxa"/>
            <w:vAlign w:val="top"/>
          </w:tcPr>
          <w:p>
            <w:pPr>
              <w:spacing w:before="55" w:line="213" w:lineRule="auto"/>
              <w:ind w:left="6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xx商品化处理设施</w:t>
            </w:r>
          </w:p>
        </w:tc>
        <w:tc>
          <w:tcPr>
            <w:tcW w:w="969" w:type="dxa"/>
            <w:vAlign w:val="top"/>
          </w:tcPr>
          <w:p>
            <w:pPr>
              <w:spacing w:before="55" w:line="213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新建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0" w:type="dxa"/>
            <w:gridSpan w:val="9"/>
            <w:vAlign w:val="top"/>
          </w:tcPr>
          <w:p>
            <w:pPr>
              <w:spacing w:before="57" w:line="219" w:lineRule="auto"/>
              <w:ind w:left="48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共富类项目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800" w:type="dxa"/>
            <w:gridSpan w:val="9"/>
            <w:vAlign w:val="top"/>
          </w:tcPr>
          <w:p>
            <w:pPr>
              <w:spacing w:before="57" w:line="211" w:lineRule="auto"/>
              <w:ind w:left="45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市、县共建类项目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800" w:type="dxa"/>
            <w:gridSpan w:val="9"/>
            <w:vAlign w:val="top"/>
          </w:tcPr>
          <w:p>
            <w:pPr>
              <w:spacing w:before="59" w:line="219" w:lineRule="auto"/>
              <w:ind w:left="4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省、市、县共建类项目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2050" w:h="16940"/>
      <w:pgMar w:top="1439" w:right="624" w:bottom="1225" w:left="614" w:header="0" w:footer="10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115"/>
      <w:jc w:val="right"/>
      <w:rPr>
        <w:rFonts w:ascii="仿宋" w:hAnsi="仿宋" w:eastAsia="仿宋" w:cs="仿宋"/>
        <w:sz w:val="15"/>
        <w:szCs w:val="15"/>
      </w:rPr>
    </w:pPr>
    <w:r>
      <w:rPr>
        <w:rFonts w:ascii="仿宋" w:hAnsi="仿宋" w:eastAsia="仿宋" w:cs="仿宋"/>
        <w:sz w:val="15"/>
        <w:szCs w:val="15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30"/>
      <w:jc w:val="right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5"/>
      <w:jc w:val="right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5"/>
        <w:sz w:val="15"/>
        <w:szCs w:val="15"/>
      </w:rP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41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5"/>
        <w:sz w:val="15"/>
        <w:szCs w:val="15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E0YmNjYjVjNzZlYzMyOGZkOTNkMTI5NGNlMDMwYzYifQ=="/>
  </w:docVars>
  <w:rsids>
    <w:rsidRoot w:val="00000000"/>
    <w:rsid w:val="11AE0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5383</Words>
  <Characters>5491</Characters>
  <TotalTime>0</TotalTime>
  <ScaleCrop>false</ScaleCrop>
  <LinksUpToDate>false</LinksUpToDate>
  <CharactersWithSpaces>5702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2023-04-24T10:07:00Z</dcterms:created>
  <dc:creator>Kingsoft-PDF</dc:creator>
  <cp:lastModifiedBy>阿晓啊°</cp:lastModifiedBy>
  <dcterms:modified xsi:type="dcterms:W3CDTF">2023-04-24T02:44:19Z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2023-04-24T10:07:11Z</vt:filetime>
  </property>
  <property fmtid="{D5CDD505-2E9C-101B-9397-08002B2CF9AE}" pid="4" name="UsrData">
    <vt:lpwstr>6445e43fa2d7b00015775d3c</vt:lpwstr>
  </property>
  <property fmtid="{D5CDD505-2E9C-101B-9397-08002B2CF9AE}" pid="5" name="KSOProductBuildVer">
    <vt:lpwstr>2052-11.1.0.14036</vt:lpwstr>
  </property>
  <property fmtid="{D5CDD505-2E9C-101B-9397-08002B2CF9AE}" pid="6" name="ICV">
    <vt:lpwstr>AFFDE5A575544B81A5883FDFB99C656C_12</vt:lpwstr>
  </property>
</Properties>
</file>